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D8BC5" w14:textId="5BBE7386" w:rsidR="001E2A8A" w:rsidRPr="00C34C61" w:rsidRDefault="001E2A8A" w:rsidP="00740B69">
      <w:pPr>
        <w:rPr>
          <w:b/>
          <w:bCs/>
          <w:sz w:val="72"/>
          <w:szCs w:val="72"/>
          <w:u w:val="single"/>
        </w:rPr>
      </w:pPr>
      <w:bookmarkStart w:id="0" w:name="_GoBack"/>
      <w:bookmarkEnd w:id="0"/>
    </w:p>
    <w:p w14:paraId="36C7B20C" w14:textId="77777777" w:rsidR="001E2A8A" w:rsidRPr="00C34C61" w:rsidRDefault="001E2A8A" w:rsidP="001E2A8A">
      <w:pPr>
        <w:jc w:val="center"/>
        <w:rPr>
          <w:b/>
          <w:bCs/>
          <w:sz w:val="72"/>
          <w:szCs w:val="72"/>
          <w:u w:val="single"/>
        </w:rPr>
      </w:pPr>
    </w:p>
    <w:p w14:paraId="28157082" w14:textId="425D6721" w:rsidR="00A341A1" w:rsidRPr="00740B69" w:rsidRDefault="00A341A1" w:rsidP="00740B69">
      <w:pPr>
        <w:pStyle w:val="Title"/>
        <w:rPr>
          <w:b/>
          <w:bCs/>
        </w:rPr>
      </w:pPr>
      <w:r w:rsidRPr="00740B69">
        <w:rPr>
          <w:b/>
          <w:bCs/>
        </w:rPr>
        <w:t>Country Paper:</w:t>
      </w:r>
      <w:r w:rsidR="00FE667D" w:rsidRPr="00740B69">
        <w:rPr>
          <w:b/>
          <w:bCs/>
        </w:rPr>
        <w:t xml:space="preserve"> </w:t>
      </w:r>
    </w:p>
    <w:p w14:paraId="18B82A2D" w14:textId="77777777" w:rsidR="00A341A1" w:rsidRPr="00C34C61" w:rsidRDefault="00A341A1" w:rsidP="00740B69">
      <w:pPr>
        <w:pStyle w:val="Title"/>
        <w:rPr>
          <w:b/>
          <w:bCs/>
        </w:rPr>
      </w:pPr>
      <w:r w:rsidRPr="00C25A4C">
        <w:t>Environmental Audit Forum on Featured Practices</w:t>
      </w:r>
    </w:p>
    <w:p w14:paraId="2491FBE8" w14:textId="77777777" w:rsidR="00A341A1" w:rsidRPr="00C34C61" w:rsidRDefault="00A341A1" w:rsidP="00A341A1">
      <w:pPr>
        <w:jc w:val="center"/>
        <w:rPr>
          <w:b/>
          <w:bCs/>
          <w:color w:val="0070C0"/>
          <w:sz w:val="32"/>
          <w:szCs w:val="32"/>
        </w:rPr>
      </w:pPr>
    </w:p>
    <w:p w14:paraId="0F79C961" w14:textId="77777777" w:rsidR="00A341A1" w:rsidRPr="00C34C61" w:rsidRDefault="00A341A1" w:rsidP="00A341A1">
      <w:pPr>
        <w:jc w:val="center"/>
        <w:rPr>
          <w:b/>
          <w:bCs/>
          <w:color w:val="0070C0"/>
          <w:sz w:val="32"/>
          <w:szCs w:val="32"/>
        </w:rPr>
      </w:pPr>
    </w:p>
    <w:p w14:paraId="4E2F3666" w14:textId="77777777" w:rsidR="00A341A1" w:rsidRPr="00C34C61" w:rsidRDefault="00A341A1" w:rsidP="00A341A1">
      <w:pPr>
        <w:jc w:val="center"/>
        <w:rPr>
          <w:b/>
          <w:bCs/>
          <w:color w:val="0070C0"/>
          <w:sz w:val="32"/>
          <w:szCs w:val="32"/>
        </w:rPr>
      </w:pPr>
    </w:p>
    <w:p w14:paraId="0446CEAF" w14:textId="77777777" w:rsidR="00A341A1" w:rsidRPr="00C34C61" w:rsidRDefault="00A341A1" w:rsidP="00A341A1">
      <w:pPr>
        <w:jc w:val="center"/>
        <w:rPr>
          <w:b/>
          <w:bCs/>
          <w:color w:val="0070C0"/>
          <w:sz w:val="32"/>
          <w:szCs w:val="32"/>
        </w:rPr>
      </w:pPr>
    </w:p>
    <w:p w14:paraId="2B73CB12" w14:textId="77777777" w:rsidR="00A341A1" w:rsidRPr="00C34C61" w:rsidRDefault="00A341A1" w:rsidP="00A341A1">
      <w:pPr>
        <w:jc w:val="center"/>
        <w:rPr>
          <w:b/>
          <w:bCs/>
          <w:color w:val="0070C0"/>
          <w:sz w:val="32"/>
          <w:szCs w:val="32"/>
        </w:rPr>
      </w:pPr>
    </w:p>
    <w:p w14:paraId="14422D8F" w14:textId="77777777" w:rsidR="00A341A1" w:rsidRPr="00C34C61" w:rsidRDefault="00A341A1" w:rsidP="00A341A1">
      <w:pPr>
        <w:jc w:val="center"/>
        <w:rPr>
          <w:b/>
          <w:bCs/>
          <w:color w:val="0070C0"/>
          <w:sz w:val="32"/>
          <w:szCs w:val="32"/>
        </w:rPr>
      </w:pPr>
    </w:p>
    <w:p w14:paraId="49DA8D62" w14:textId="77777777" w:rsidR="00A341A1" w:rsidRPr="00C34C61" w:rsidRDefault="00A341A1" w:rsidP="00A341A1">
      <w:pPr>
        <w:jc w:val="center"/>
        <w:rPr>
          <w:b/>
          <w:bCs/>
          <w:color w:val="0070C0"/>
          <w:sz w:val="32"/>
          <w:szCs w:val="32"/>
        </w:rPr>
      </w:pPr>
    </w:p>
    <w:p w14:paraId="606EB88C" w14:textId="77777777" w:rsidR="00A341A1" w:rsidRPr="00C34C61" w:rsidRDefault="00A341A1" w:rsidP="00A341A1">
      <w:pPr>
        <w:jc w:val="center"/>
        <w:rPr>
          <w:b/>
          <w:bCs/>
          <w:color w:val="0070C0"/>
          <w:sz w:val="32"/>
          <w:szCs w:val="32"/>
        </w:rPr>
      </w:pPr>
    </w:p>
    <w:p w14:paraId="12AACBCC" w14:textId="41D4875A" w:rsidR="00A341A1" w:rsidRPr="00C34C61" w:rsidRDefault="00A341A1" w:rsidP="00A341A1">
      <w:pPr>
        <w:jc w:val="center"/>
        <w:rPr>
          <w:b/>
          <w:bCs/>
          <w:color w:val="0070C0"/>
          <w:sz w:val="32"/>
          <w:szCs w:val="32"/>
        </w:rPr>
      </w:pPr>
    </w:p>
    <w:p w14:paraId="1159644F" w14:textId="42BE7966" w:rsidR="00A341A1" w:rsidRPr="00C34C61" w:rsidRDefault="00A341A1" w:rsidP="00A341A1">
      <w:pPr>
        <w:jc w:val="center"/>
        <w:rPr>
          <w:b/>
          <w:bCs/>
          <w:color w:val="0070C0"/>
          <w:sz w:val="32"/>
          <w:szCs w:val="32"/>
        </w:rPr>
      </w:pPr>
    </w:p>
    <w:p w14:paraId="6974AEAE" w14:textId="2C612204" w:rsidR="00C34C61" w:rsidRDefault="00C34C61" w:rsidP="00A341A1">
      <w:pPr>
        <w:jc w:val="center"/>
        <w:rPr>
          <w:b/>
          <w:bCs/>
          <w:color w:val="0070C0"/>
          <w:sz w:val="32"/>
          <w:szCs w:val="32"/>
        </w:rPr>
      </w:pPr>
    </w:p>
    <w:p w14:paraId="2562B637" w14:textId="77777777" w:rsidR="00C25A4C" w:rsidRPr="00C34C61" w:rsidRDefault="00C25A4C" w:rsidP="00A341A1">
      <w:pPr>
        <w:jc w:val="center"/>
        <w:rPr>
          <w:b/>
          <w:bCs/>
          <w:color w:val="0070C0"/>
          <w:sz w:val="32"/>
          <w:szCs w:val="32"/>
        </w:rPr>
      </w:pPr>
    </w:p>
    <w:p w14:paraId="79741156" w14:textId="04F18DAB" w:rsidR="00A341A1" w:rsidRPr="00C34C61" w:rsidRDefault="00A341A1" w:rsidP="00A341A1">
      <w:pPr>
        <w:jc w:val="center"/>
        <w:rPr>
          <w:b/>
          <w:bCs/>
          <w:color w:val="0070C0"/>
          <w:sz w:val="52"/>
          <w:szCs w:val="52"/>
          <w:u w:val="single"/>
        </w:rPr>
      </w:pPr>
      <w:r w:rsidRPr="00C34C61">
        <w:rPr>
          <w:b/>
          <w:bCs/>
          <w:color w:val="0070C0"/>
          <w:sz w:val="52"/>
          <w:szCs w:val="52"/>
          <w:u w:val="single"/>
        </w:rPr>
        <w:t>SAI India</w:t>
      </w:r>
    </w:p>
    <w:p w14:paraId="1018DA93" w14:textId="77777777" w:rsidR="001C7FC1" w:rsidRPr="00C34C61" w:rsidRDefault="001C7FC1" w:rsidP="00FE667D">
      <w:pPr>
        <w:pBdr>
          <w:bottom w:val="single" w:sz="4" w:space="1" w:color="auto"/>
        </w:pBdr>
        <w:spacing w:line="360" w:lineRule="auto"/>
        <w:jc w:val="both"/>
        <w:rPr>
          <w:b/>
          <w:bCs/>
          <w:sz w:val="24"/>
          <w:szCs w:val="24"/>
        </w:rPr>
      </w:pPr>
      <w:r w:rsidRPr="00C34C61">
        <w:rPr>
          <w:b/>
          <w:bCs/>
          <w:sz w:val="24"/>
          <w:szCs w:val="24"/>
        </w:rPr>
        <w:lastRenderedPageBreak/>
        <w:t>Introduction:</w:t>
      </w:r>
    </w:p>
    <w:p w14:paraId="24860156" w14:textId="3DC0D05C" w:rsidR="00085D31" w:rsidRPr="00C34C61" w:rsidRDefault="00FE667D" w:rsidP="001C7FC1">
      <w:pPr>
        <w:spacing w:line="360" w:lineRule="auto"/>
        <w:jc w:val="both"/>
        <w:rPr>
          <w:b/>
          <w:bCs/>
          <w:sz w:val="24"/>
          <w:szCs w:val="24"/>
        </w:rPr>
      </w:pPr>
      <w:r w:rsidRPr="00C34C61">
        <w:rPr>
          <w:sz w:val="24"/>
          <w:szCs w:val="24"/>
        </w:rPr>
        <w:t>Ecology and environment have</w:t>
      </w:r>
      <w:r w:rsidR="00840C26" w:rsidRPr="00C34C61">
        <w:rPr>
          <w:sz w:val="24"/>
          <w:szCs w:val="24"/>
        </w:rPr>
        <w:t xml:space="preserve"> been a pivotal concern for policy makers, intellectuals, economists, media, NGOs and the public at large. Environmental concerns have been an integral part of all policy issues and debates </w:t>
      </w:r>
      <w:r w:rsidR="001C7FC1" w:rsidRPr="00C34C61">
        <w:rPr>
          <w:sz w:val="24"/>
          <w:szCs w:val="24"/>
        </w:rPr>
        <w:t xml:space="preserve">especially </w:t>
      </w:r>
      <w:r w:rsidR="00840C26" w:rsidRPr="00C34C61">
        <w:rPr>
          <w:sz w:val="24"/>
          <w:szCs w:val="24"/>
        </w:rPr>
        <w:t xml:space="preserve">in the context of </w:t>
      </w:r>
      <w:r w:rsidR="001C7FC1" w:rsidRPr="00C34C61">
        <w:rPr>
          <w:sz w:val="24"/>
          <w:szCs w:val="24"/>
        </w:rPr>
        <w:t xml:space="preserve">issues relating to </w:t>
      </w:r>
      <w:r w:rsidR="00840C26" w:rsidRPr="00C34C61">
        <w:rPr>
          <w:sz w:val="24"/>
          <w:szCs w:val="24"/>
        </w:rPr>
        <w:t xml:space="preserve">global warming and climate change. </w:t>
      </w:r>
      <w:r w:rsidRPr="00C34C61">
        <w:rPr>
          <w:sz w:val="24"/>
          <w:szCs w:val="24"/>
        </w:rPr>
        <w:t>Fully aware of the significance of environmental issues in contemporary governance, t</w:t>
      </w:r>
      <w:r w:rsidR="00840C26" w:rsidRPr="00C34C61">
        <w:rPr>
          <w:sz w:val="24"/>
          <w:szCs w:val="24"/>
        </w:rPr>
        <w:t>he Supreme Audit Institution of India headed by the Comptroller and</w:t>
      </w:r>
      <w:r w:rsidR="00085D31" w:rsidRPr="00C34C61">
        <w:rPr>
          <w:sz w:val="24"/>
          <w:szCs w:val="24"/>
        </w:rPr>
        <w:t xml:space="preserve"> Auditor General of India (C</w:t>
      </w:r>
      <w:r w:rsidR="00840C26" w:rsidRPr="00C34C61">
        <w:rPr>
          <w:sz w:val="24"/>
          <w:szCs w:val="24"/>
        </w:rPr>
        <w:t>&amp;</w:t>
      </w:r>
      <w:r w:rsidR="00085D31" w:rsidRPr="00C34C61">
        <w:rPr>
          <w:sz w:val="24"/>
          <w:szCs w:val="24"/>
        </w:rPr>
        <w:t xml:space="preserve">AG) </w:t>
      </w:r>
      <w:r w:rsidR="009D3A98" w:rsidRPr="00C34C61">
        <w:rPr>
          <w:sz w:val="24"/>
          <w:szCs w:val="24"/>
        </w:rPr>
        <w:t xml:space="preserve">has </w:t>
      </w:r>
      <w:r w:rsidR="00674FF2" w:rsidRPr="00C34C61">
        <w:rPr>
          <w:sz w:val="24"/>
          <w:szCs w:val="24"/>
        </w:rPr>
        <w:t xml:space="preserve">a dedicated wing </w:t>
      </w:r>
      <w:r w:rsidRPr="00C34C61">
        <w:rPr>
          <w:sz w:val="24"/>
          <w:szCs w:val="24"/>
        </w:rPr>
        <w:t xml:space="preserve">for Environmental Audit </w:t>
      </w:r>
      <w:r w:rsidR="00674FF2" w:rsidRPr="00C34C61">
        <w:rPr>
          <w:sz w:val="24"/>
          <w:szCs w:val="24"/>
        </w:rPr>
        <w:t>under the office of Principal Director of Audit of Scientific Departments</w:t>
      </w:r>
      <w:r w:rsidRPr="00C34C61">
        <w:rPr>
          <w:sz w:val="24"/>
          <w:szCs w:val="24"/>
        </w:rPr>
        <w:t>, New Delhi</w:t>
      </w:r>
      <w:r w:rsidR="00674FF2" w:rsidRPr="00C34C61">
        <w:rPr>
          <w:sz w:val="24"/>
          <w:szCs w:val="24"/>
        </w:rPr>
        <w:t xml:space="preserve">. </w:t>
      </w:r>
      <w:r w:rsidR="009D3A98" w:rsidRPr="00C34C61">
        <w:rPr>
          <w:sz w:val="24"/>
          <w:szCs w:val="24"/>
        </w:rPr>
        <w:t xml:space="preserve">In recent year, office of </w:t>
      </w:r>
      <w:r w:rsidRPr="00C34C61">
        <w:rPr>
          <w:sz w:val="24"/>
          <w:szCs w:val="24"/>
        </w:rPr>
        <w:t xml:space="preserve">C &amp; </w:t>
      </w:r>
      <w:r w:rsidR="009D3A98" w:rsidRPr="00C34C61">
        <w:rPr>
          <w:sz w:val="24"/>
          <w:szCs w:val="24"/>
        </w:rPr>
        <w:t>AG published a</w:t>
      </w:r>
      <w:r w:rsidR="00674FF2" w:rsidRPr="00C34C61">
        <w:rPr>
          <w:sz w:val="24"/>
          <w:szCs w:val="24"/>
        </w:rPr>
        <w:t xml:space="preserve"> number of reports covering the initiatives of the Government of India (</w:t>
      </w:r>
      <w:proofErr w:type="spellStart"/>
      <w:r w:rsidR="00674FF2" w:rsidRPr="00C34C61">
        <w:rPr>
          <w:sz w:val="24"/>
          <w:szCs w:val="24"/>
        </w:rPr>
        <w:t>GoI</w:t>
      </w:r>
      <w:proofErr w:type="spellEnd"/>
      <w:r w:rsidR="00674FF2" w:rsidRPr="00C34C61">
        <w:rPr>
          <w:sz w:val="24"/>
          <w:szCs w:val="24"/>
        </w:rPr>
        <w:t>) for preservation and protection of environment</w:t>
      </w:r>
      <w:r w:rsidRPr="00C34C61">
        <w:rPr>
          <w:sz w:val="24"/>
          <w:szCs w:val="24"/>
        </w:rPr>
        <w:t xml:space="preserve"> and ecology</w:t>
      </w:r>
      <w:r w:rsidR="00674FF2" w:rsidRPr="00C34C61">
        <w:rPr>
          <w:sz w:val="24"/>
          <w:szCs w:val="24"/>
        </w:rPr>
        <w:t>. The environmental a</w:t>
      </w:r>
      <w:r w:rsidR="00085D31" w:rsidRPr="00C34C61">
        <w:rPr>
          <w:sz w:val="24"/>
          <w:szCs w:val="24"/>
        </w:rPr>
        <w:t xml:space="preserve">udits </w:t>
      </w:r>
      <w:r w:rsidR="00A610F4" w:rsidRPr="00C34C61">
        <w:rPr>
          <w:sz w:val="24"/>
          <w:szCs w:val="24"/>
        </w:rPr>
        <w:t xml:space="preserve">covered </w:t>
      </w:r>
      <w:r w:rsidR="00085D31" w:rsidRPr="00C34C61">
        <w:rPr>
          <w:sz w:val="24"/>
          <w:szCs w:val="24"/>
        </w:rPr>
        <w:t xml:space="preserve">a variety of issues </w:t>
      </w:r>
      <w:r w:rsidR="00A610F4" w:rsidRPr="00C34C61">
        <w:rPr>
          <w:sz w:val="24"/>
          <w:szCs w:val="24"/>
        </w:rPr>
        <w:t xml:space="preserve">on </w:t>
      </w:r>
      <w:r w:rsidR="009D3A98" w:rsidRPr="00C34C61">
        <w:rPr>
          <w:sz w:val="24"/>
          <w:szCs w:val="24"/>
        </w:rPr>
        <w:t xml:space="preserve">bio diversity, </w:t>
      </w:r>
      <w:r w:rsidR="00085D31" w:rsidRPr="00C34C61">
        <w:rPr>
          <w:sz w:val="24"/>
          <w:szCs w:val="24"/>
        </w:rPr>
        <w:t>forest management, waste management</w:t>
      </w:r>
      <w:r w:rsidR="00A610F4" w:rsidRPr="00C34C61">
        <w:rPr>
          <w:sz w:val="24"/>
          <w:szCs w:val="24"/>
        </w:rPr>
        <w:t>,</w:t>
      </w:r>
      <w:r w:rsidR="00085D31" w:rsidRPr="00C34C61">
        <w:rPr>
          <w:sz w:val="24"/>
          <w:szCs w:val="24"/>
        </w:rPr>
        <w:t xml:space="preserve"> </w:t>
      </w:r>
      <w:r w:rsidR="00A610F4" w:rsidRPr="00C34C61">
        <w:rPr>
          <w:sz w:val="24"/>
          <w:szCs w:val="24"/>
        </w:rPr>
        <w:t xml:space="preserve">coastal zone management, </w:t>
      </w:r>
      <w:r w:rsidR="006E5264" w:rsidRPr="00C34C61">
        <w:rPr>
          <w:sz w:val="24"/>
          <w:szCs w:val="24"/>
        </w:rPr>
        <w:t>renewable energy</w:t>
      </w:r>
      <w:r w:rsidR="00C53A1A" w:rsidRPr="00C34C61">
        <w:rPr>
          <w:sz w:val="24"/>
          <w:szCs w:val="24"/>
        </w:rPr>
        <w:t xml:space="preserve">, </w:t>
      </w:r>
      <w:r w:rsidR="009D3A98" w:rsidRPr="00C34C61">
        <w:rPr>
          <w:sz w:val="24"/>
          <w:szCs w:val="24"/>
        </w:rPr>
        <w:t xml:space="preserve">environmental clearances, flood management, </w:t>
      </w:r>
      <w:r w:rsidR="00A610F4" w:rsidRPr="00C34C61">
        <w:rPr>
          <w:sz w:val="24"/>
          <w:szCs w:val="24"/>
        </w:rPr>
        <w:t xml:space="preserve">water pollution and river rejuvenation. Besides, implementation of Sustainable Development Goals (SDGs) framed by the United Nations are also evaluated during the Performance Audits </w:t>
      </w:r>
      <w:r w:rsidR="001C7FC1" w:rsidRPr="00C34C61">
        <w:rPr>
          <w:sz w:val="24"/>
          <w:szCs w:val="24"/>
        </w:rPr>
        <w:t>cov</w:t>
      </w:r>
      <w:r w:rsidR="00D23DBF" w:rsidRPr="00C34C61">
        <w:rPr>
          <w:sz w:val="24"/>
          <w:szCs w:val="24"/>
        </w:rPr>
        <w:t xml:space="preserve">ering </w:t>
      </w:r>
      <w:r w:rsidR="00375CBD" w:rsidRPr="00C34C61">
        <w:rPr>
          <w:sz w:val="24"/>
          <w:szCs w:val="24"/>
        </w:rPr>
        <w:t xml:space="preserve">the </w:t>
      </w:r>
      <w:r w:rsidR="00D23DBF" w:rsidRPr="00C34C61">
        <w:rPr>
          <w:sz w:val="24"/>
          <w:szCs w:val="24"/>
        </w:rPr>
        <w:t>subjects relating to SDGs for their achievement in a time bound manner.</w:t>
      </w:r>
    </w:p>
    <w:p w14:paraId="43EE021B" w14:textId="77777777" w:rsidR="006638B2" w:rsidRPr="00C34C61" w:rsidRDefault="00397C93" w:rsidP="00C34C61">
      <w:pPr>
        <w:pBdr>
          <w:bottom w:val="single" w:sz="4" w:space="1" w:color="auto"/>
        </w:pBdr>
        <w:spacing w:line="360" w:lineRule="auto"/>
        <w:jc w:val="both"/>
        <w:rPr>
          <w:b/>
          <w:bCs/>
          <w:sz w:val="24"/>
          <w:szCs w:val="24"/>
        </w:rPr>
      </w:pPr>
      <w:r w:rsidRPr="00C34C61">
        <w:rPr>
          <w:b/>
          <w:bCs/>
          <w:sz w:val="24"/>
          <w:szCs w:val="24"/>
        </w:rPr>
        <w:t>Achie</w:t>
      </w:r>
      <w:r w:rsidR="001C7FC1" w:rsidRPr="00C34C61">
        <w:rPr>
          <w:b/>
          <w:bCs/>
          <w:sz w:val="24"/>
          <w:szCs w:val="24"/>
        </w:rPr>
        <w:t>vement of SAI:</w:t>
      </w:r>
    </w:p>
    <w:p w14:paraId="1CD392B0" w14:textId="1B78865D" w:rsidR="001C7FC1" w:rsidRPr="00C34C61" w:rsidRDefault="00375CBD" w:rsidP="001C7FC1">
      <w:pPr>
        <w:spacing w:line="360" w:lineRule="auto"/>
        <w:jc w:val="both"/>
        <w:rPr>
          <w:sz w:val="24"/>
          <w:szCs w:val="24"/>
        </w:rPr>
      </w:pPr>
      <w:r w:rsidRPr="00C34C61">
        <w:rPr>
          <w:sz w:val="24"/>
          <w:szCs w:val="24"/>
        </w:rPr>
        <w:t>All India Performance Audit Reports brought out by</w:t>
      </w:r>
      <w:r w:rsidR="001C7FC1" w:rsidRPr="00C34C61">
        <w:rPr>
          <w:sz w:val="24"/>
          <w:szCs w:val="24"/>
        </w:rPr>
        <w:t xml:space="preserve"> C</w:t>
      </w:r>
      <w:r w:rsidRPr="00C34C61">
        <w:rPr>
          <w:sz w:val="24"/>
          <w:szCs w:val="24"/>
        </w:rPr>
        <w:t xml:space="preserve"> </w:t>
      </w:r>
      <w:r w:rsidR="001C7FC1" w:rsidRPr="00C34C61">
        <w:rPr>
          <w:sz w:val="24"/>
          <w:szCs w:val="24"/>
        </w:rPr>
        <w:t>&amp;</w:t>
      </w:r>
      <w:r w:rsidRPr="00C34C61">
        <w:rPr>
          <w:sz w:val="24"/>
          <w:szCs w:val="24"/>
        </w:rPr>
        <w:t xml:space="preserve"> </w:t>
      </w:r>
      <w:r w:rsidR="001C7FC1" w:rsidRPr="00C34C61">
        <w:rPr>
          <w:sz w:val="24"/>
          <w:szCs w:val="24"/>
        </w:rPr>
        <w:t xml:space="preserve">AG </w:t>
      </w:r>
      <w:r w:rsidRPr="00C34C61">
        <w:rPr>
          <w:sz w:val="24"/>
          <w:szCs w:val="24"/>
        </w:rPr>
        <w:t>of India during the five-year period are</w:t>
      </w:r>
      <w:r w:rsidR="00E37AE2" w:rsidRPr="00C34C61">
        <w:rPr>
          <w:sz w:val="24"/>
          <w:szCs w:val="24"/>
        </w:rPr>
        <w:t xml:space="preserve"> as follows</w:t>
      </w:r>
      <w:r w:rsidR="001C7FC1" w:rsidRPr="00C34C61">
        <w:rPr>
          <w:sz w:val="24"/>
          <w:szCs w:val="24"/>
        </w:rPr>
        <w:t xml:space="preserve">: </w:t>
      </w:r>
    </w:p>
    <w:p w14:paraId="7BAF2B59" w14:textId="77777777" w:rsidR="00E81BB9" w:rsidRPr="00C34C61" w:rsidRDefault="00E81BB9" w:rsidP="00CA29A4">
      <w:pPr>
        <w:pStyle w:val="ListParagraph"/>
        <w:numPr>
          <w:ilvl w:val="0"/>
          <w:numId w:val="8"/>
        </w:numPr>
        <w:spacing w:line="360" w:lineRule="auto"/>
        <w:ind w:left="851" w:hanging="284"/>
        <w:jc w:val="both"/>
        <w:rPr>
          <w:sz w:val="24"/>
          <w:szCs w:val="24"/>
        </w:rPr>
      </w:pPr>
      <w:r w:rsidRPr="00C34C61">
        <w:rPr>
          <w:sz w:val="24"/>
          <w:szCs w:val="24"/>
        </w:rPr>
        <w:t xml:space="preserve">Report No. 21 of 2013 - Compliance Audit on </w:t>
      </w:r>
      <w:r w:rsidRPr="00C34C61">
        <w:rPr>
          <w:i/>
          <w:iCs/>
          <w:sz w:val="24"/>
          <w:szCs w:val="24"/>
        </w:rPr>
        <w:t>Compensatory Afforestation in India</w:t>
      </w:r>
      <w:r w:rsidRPr="00C34C61">
        <w:rPr>
          <w:sz w:val="24"/>
          <w:szCs w:val="24"/>
        </w:rPr>
        <w:t>, Ministry of Environment and Forests</w:t>
      </w:r>
      <w:r w:rsidR="00F43058" w:rsidRPr="00C34C61">
        <w:rPr>
          <w:sz w:val="24"/>
          <w:szCs w:val="24"/>
        </w:rPr>
        <w:t>.</w:t>
      </w:r>
    </w:p>
    <w:p w14:paraId="0A1EE521" w14:textId="77777777" w:rsidR="006638B2" w:rsidRPr="00C34C61" w:rsidRDefault="006638B2" w:rsidP="00CA29A4">
      <w:pPr>
        <w:pStyle w:val="ListParagraph"/>
        <w:numPr>
          <w:ilvl w:val="0"/>
          <w:numId w:val="5"/>
        </w:numPr>
        <w:spacing w:line="360" w:lineRule="auto"/>
        <w:ind w:left="851" w:hanging="284"/>
        <w:jc w:val="both"/>
        <w:rPr>
          <w:sz w:val="24"/>
          <w:szCs w:val="24"/>
        </w:rPr>
      </w:pPr>
      <w:r w:rsidRPr="00C34C61">
        <w:rPr>
          <w:sz w:val="24"/>
          <w:szCs w:val="24"/>
        </w:rPr>
        <w:t xml:space="preserve">Report No. 34 of 2015 - Performance Audit on </w:t>
      </w:r>
      <w:r w:rsidRPr="00C34C61">
        <w:rPr>
          <w:i/>
          <w:iCs/>
          <w:sz w:val="24"/>
          <w:szCs w:val="24"/>
        </w:rPr>
        <w:t>Renewable Energy Sector in India</w:t>
      </w:r>
      <w:r w:rsidRPr="00C34C61">
        <w:rPr>
          <w:sz w:val="24"/>
          <w:szCs w:val="24"/>
        </w:rPr>
        <w:t>, Ministry of New and Renewable Energy</w:t>
      </w:r>
      <w:r w:rsidR="00F43058" w:rsidRPr="00C34C61">
        <w:rPr>
          <w:sz w:val="24"/>
          <w:szCs w:val="24"/>
        </w:rPr>
        <w:t>.</w:t>
      </w:r>
    </w:p>
    <w:p w14:paraId="5E48D6C3" w14:textId="77777777" w:rsidR="00235B34" w:rsidRPr="00C34C61" w:rsidRDefault="00235B34" w:rsidP="00CA29A4">
      <w:pPr>
        <w:pStyle w:val="ListParagraph"/>
        <w:numPr>
          <w:ilvl w:val="0"/>
          <w:numId w:val="5"/>
        </w:numPr>
        <w:spacing w:line="360" w:lineRule="auto"/>
        <w:ind w:left="851" w:hanging="284"/>
        <w:jc w:val="both"/>
        <w:rPr>
          <w:sz w:val="24"/>
          <w:szCs w:val="24"/>
        </w:rPr>
      </w:pPr>
      <w:r w:rsidRPr="00C34C61">
        <w:rPr>
          <w:sz w:val="24"/>
          <w:szCs w:val="24"/>
        </w:rPr>
        <w:t xml:space="preserve">Report </w:t>
      </w:r>
      <w:r w:rsidR="001E2A8A" w:rsidRPr="00C34C61">
        <w:rPr>
          <w:sz w:val="24"/>
          <w:szCs w:val="24"/>
        </w:rPr>
        <w:t xml:space="preserve">No. </w:t>
      </w:r>
      <w:r w:rsidRPr="00C34C61">
        <w:rPr>
          <w:sz w:val="24"/>
          <w:szCs w:val="24"/>
        </w:rPr>
        <w:t xml:space="preserve">39 </w:t>
      </w:r>
      <w:r w:rsidR="00F43058" w:rsidRPr="00C34C61">
        <w:rPr>
          <w:sz w:val="24"/>
          <w:szCs w:val="24"/>
        </w:rPr>
        <w:t xml:space="preserve">of 2016 - Performance Audit on </w:t>
      </w:r>
      <w:r w:rsidRPr="00C34C61">
        <w:rPr>
          <w:i/>
          <w:iCs/>
          <w:sz w:val="24"/>
          <w:szCs w:val="24"/>
        </w:rPr>
        <w:t>Environmental Clearance and Post Clearance Monitoring</w:t>
      </w:r>
      <w:r w:rsidR="00F43058" w:rsidRPr="00C34C61">
        <w:rPr>
          <w:sz w:val="24"/>
          <w:szCs w:val="24"/>
        </w:rPr>
        <w:t>,</w:t>
      </w:r>
      <w:r w:rsidRPr="00C34C61">
        <w:rPr>
          <w:sz w:val="24"/>
          <w:szCs w:val="24"/>
        </w:rPr>
        <w:t xml:space="preserve"> Ministry of Environment, Forest and Climate Change</w:t>
      </w:r>
      <w:r w:rsidR="00F43058" w:rsidRPr="00C34C61">
        <w:rPr>
          <w:sz w:val="24"/>
          <w:szCs w:val="24"/>
        </w:rPr>
        <w:t>.</w:t>
      </w:r>
    </w:p>
    <w:p w14:paraId="2B63E463" w14:textId="77777777" w:rsidR="001C7FC1" w:rsidRPr="00C34C61" w:rsidRDefault="00DE2921" w:rsidP="00CA29A4">
      <w:pPr>
        <w:pStyle w:val="ListParagraph"/>
        <w:numPr>
          <w:ilvl w:val="0"/>
          <w:numId w:val="5"/>
        </w:numPr>
        <w:spacing w:line="360" w:lineRule="auto"/>
        <w:ind w:left="851" w:hanging="284"/>
        <w:jc w:val="both"/>
        <w:rPr>
          <w:sz w:val="24"/>
          <w:szCs w:val="24"/>
        </w:rPr>
      </w:pPr>
      <w:hyperlink r:id="rId6" w:tooltip="Report No.10 of 2017 - Performance audit Union Government Schemes for Flood Control and Flood Forecasting Reports of Ministry of Water Resources, River Development &amp; Ganga Rejuvenation" w:history="1">
        <w:r w:rsidR="006E5264" w:rsidRPr="00C34C61">
          <w:rPr>
            <w:sz w:val="24"/>
            <w:szCs w:val="24"/>
          </w:rPr>
          <w:t xml:space="preserve">Report No.10 of 2017 - Performance Audit </w:t>
        </w:r>
        <w:r w:rsidR="00F43058" w:rsidRPr="00C34C61">
          <w:rPr>
            <w:sz w:val="24"/>
            <w:szCs w:val="24"/>
          </w:rPr>
          <w:t>on</w:t>
        </w:r>
        <w:r w:rsidR="006E5264" w:rsidRPr="00C34C61">
          <w:rPr>
            <w:sz w:val="24"/>
            <w:szCs w:val="24"/>
          </w:rPr>
          <w:t xml:space="preserve"> </w:t>
        </w:r>
        <w:r w:rsidR="006E5264" w:rsidRPr="00C34C61">
          <w:rPr>
            <w:i/>
            <w:iCs/>
            <w:sz w:val="24"/>
            <w:szCs w:val="24"/>
          </w:rPr>
          <w:t>Schemes for Flood Control and Flood Forecasting</w:t>
        </w:r>
        <w:r w:rsidR="006E5264" w:rsidRPr="00C34C61">
          <w:rPr>
            <w:sz w:val="24"/>
            <w:szCs w:val="24"/>
          </w:rPr>
          <w:t>, Ministry of Wate</w:t>
        </w:r>
        <w:r w:rsidR="00F43058" w:rsidRPr="00C34C61">
          <w:rPr>
            <w:sz w:val="24"/>
            <w:szCs w:val="24"/>
          </w:rPr>
          <w:t>r Resources, River Development and</w:t>
        </w:r>
        <w:r w:rsidR="006E5264" w:rsidRPr="00C34C61">
          <w:rPr>
            <w:sz w:val="24"/>
            <w:szCs w:val="24"/>
          </w:rPr>
          <w:t xml:space="preserve"> Ganga Rejuvenation</w:t>
        </w:r>
      </w:hyperlink>
      <w:r w:rsidR="006E5264" w:rsidRPr="00C34C61">
        <w:rPr>
          <w:sz w:val="24"/>
          <w:szCs w:val="24"/>
        </w:rPr>
        <w:t>.</w:t>
      </w:r>
    </w:p>
    <w:p w14:paraId="323D72DF" w14:textId="56F4F4FB" w:rsidR="00235B34" w:rsidRPr="00C34C61" w:rsidRDefault="00D23DBF" w:rsidP="00375CBD">
      <w:pPr>
        <w:spacing w:line="360" w:lineRule="auto"/>
        <w:jc w:val="both"/>
        <w:rPr>
          <w:sz w:val="24"/>
          <w:szCs w:val="24"/>
        </w:rPr>
      </w:pPr>
      <w:r w:rsidRPr="00C34C61">
        <w:rPr>
          <w:sz w:val="24"/>
          <w:szCs w:val="24"/>
        </w:rPr>
        <w:lastRenderedPageBreak/>
        <w:t>Report No.39 of 2017</w:t>
      </w:r>
      <w:r w:rsidR="00375CBD" w:rsidRPr="00C34C61">
        <w:rPr>
          <w:sz w:val="24"/>
          <w:szCs w:val="24"/>
        </w:rPr>
        <w:t xml:space="preserve"> on</w:t>
      </w:r>
      <w:r w:rsidR="001E2A8A" w:rsidRPr="00C34C61">
        <w:rPr>
          <w:sz w:val="24"/>
          <w:szCs w:val="24"/>
        </w:rPr>
        <w:t xml:space="preserve"> </w:t>
      </w:r>
      <w:r w:rsidR="006638B2" w:rsidRPr="00C34C61">
        <w:rPr>
          <w:sz w:val="24"/>
          <w:szCs w:val="24"/>
        </w:rPr>
        <w:t xml:space="preserve">Performance Audit on </w:t>
      </w:r>
      <w:r w:rsidR="00235B34" w:rsidRPr="00C34C61">
        <w:rPr>
          <w:i/>
          <w:iCs/>
          <w:sz w:val="24"/>
          <w:szCs w:val="24"/>
        </w:rPr>
        <w:t>Rejuvenation of River Ganga</w:t>
      </w:r>
      <w:r w:rsidR="00F43058" w:rsidRPr="00C34C61">
        <w:rPr>
          <w:i/>
          <w:iCs/>
          <w:sz w:val="24"/>
          <w:szCs w:val="24"/>
        </w:rPr>
        <w:t xml:space="preserve">- </w:t>
      </w:r>
      <w:proofErr w:type="spellStart"/>
      <w:r w:rsidR="00F43058" w:rsidRPr="00C34C61">
        <w:rPr>
          <w:i/>
          <w:iCs/>
          <w:sz w:val="24"/>
          <w:szCs w:val="24"/>
        </w:rPr>
        <w:t>Namami</w:t>
      </w:r>
      <w:proofErr w:type="spellEnd"/>
      <w:r w:rsidR="00F43058" w:rsidRPr="00C34C61">
        <w:rPr>
          <w:i/>
          <w:iCs/>
          <w:sz w:val="24"/>
          <w:szCs w:val="24"/>
        </w:rPr>
        <w:t xml:space="preserve"> </w:t>
      </w:r>
      <w:proofErr w:type="spellStart"/>
      <w:r w:rsidR="00F43058" w:rsidRPr="00C34C61">
        <w:rPr>
          <w:i/>
          <w:iCs/>
          <w:sz w:val="24"/>
          <w:szCs w:val="24"/>
        </w:rPr>
        <w:t>Gange</w:t>
      </w:r>
      <w:proofErr w:type="spellEnd"/>
      <w:r w:rsidRPr="00C34C61">
        <w:rPr>
          <w:i/>
          <w:iCs/>
          <w:sz w:val="24"/>
          <w:szCs w:val="24"/>
        </w:rPr>
        <w:t>,</w:t>
      </w:r>
      <w:r w:rsidR="006638B2" w:rsidRPr="00C34C61">
        <w:rPr>
          <w:sz w:val="24"/>
          <w:szCs w:val="24"/>
        </w:rPr>
        <w:t xml:space="preserve"> Ministry of Wate</w:t>
      </w:r>
      <w:r w:rsidRPr="00C34C61">
        <w:rPr>
          <w:sz w:val="24"/>
          <w:szCs w:val="24"/>
        </w:rPr>
        <w:t>r Resources, River Development and</w:t>
      </w:r>
      <w:r w:rsidR="006638B2" w:rsidRPr="00C34C61">
        <w:rPr>
          <w:sz w:val="24"/>
          <w:szCs w:val="24"/>
        </w:rPr>
        <w:t xml:space="preserve"> Ganga Rejuvenation</w:t>
      </w:r>
      <w:r w:rsidR="00375CBD" w:rsidRPr="00C34C61">
        <w:rPr>
          <w:sz w:val="24"/>
          <w:szCs w:val="24"/>
        </w:rPr>
        <w:t xml:space="preserve"> is scheduled for laying before the Parliament during December, 2017.</w:t>
      </w:r>
    </w:p>
    <w:p w14:paraId="7A6CA4BB" w14:textId="3808961C" w:rsidR="00235B34" w:rsidRPr="00C34C61" w:rsidRDefault="00375CBD" w:rsidP="00D23DBF">
      <w:pPr>
        <w:spacing w:line="360" w:lineRule="auto"/>
        <w:jc w:val="both"/>
        <w:rPr>
          <w:sz w:val="24"/>
          <w:szCs w:val="24"/>
        </w:rPr>
      </w:pPr>
      <w:r w:rsidRPr="00C34C61">
        <w:rPr>
          <w:sz w:val="24"/>
          <w:szCs w:val="24"/>
        </w:rPr>
        <w:t xml:space="preserve">Further, </w:t>
      </w:r>
      <w:r w:rsidR="001E2A8A" w:rsidRPr="00C34C61">
        <w:rPr>
          <w:sz w:val="24"/>
          <w:szCs w:val="24"/>
        </w:rPr>
        <w:t xml:space="preserve">SAI India has conducted </w:t>
      </w:r>
      <w:r w:rsidR="001E2A8A" w:rsidRPr="00C34C61">
        <w:rPr>
          <w:i/>
          <w:iCs/>
          <w:sz w:val="24"/>
          <w:szCs w:val="24"/>
        </w:rPr>
        <w:t xml:space="preserve">Performance Audit on Acceleration Irrigation Benefits </w:t>
      </w:r>
      <w:proofErr w:type="spellStart"/>
      <w:r w:rsidR="001E2A8A" w:rsidRPr="00C34C61">
        <w:rPr>
          <w:i/>
          <w:iCs/>
          <w:sz w:val="24"/>
          <w:szCs w:val="24"/>
        </w:rPr>
        <w:t>Programme</w:t>
      </w:r>
      <w:proofErr w:type="spellEnd"/>
      <w:r w:rsidR="001E2A8A" w:rsidRPr="00C34C61">
        <w:rPr>
          <w:sz w:val="24"/>
          <w:szCs w:val="24"/>
        </w:rPr>
        <w:t xml:space="preserve"> and </w:t>
      </w:r>
      <w:r w:rsidR="001E2A8A" w:rsidRPr="00C34C61">
        <w:rPr>
          <w:i/>
          <w:iCs/>
          <w:sz w:val="24"/>
          <w:szCs w:val="24"/>
        </w:rPr>
        <w:t>Performa</w:t>
      </w:r>
      <w:r w:rsidRPr="00C34C61">
        <w:rPr>
          <w:i/>
          <w:iCs/>
          <w:sz w:val="24"/>
          <w:szCs w:val="24"/>
        </w:rPr>
        <w:t>nce Audit on National Projects</w:t>
      </w:r>
      <w:r w:rsidRPr="00C34C61">
        <w:rPr>
          <w:sz w:val="24"/>
          <w:szCs w:val="24"/>
        </w:rPr>
        <w:t xml:space="preserve"> during 2017-18, covering the </w:t>
      </w:r>
      <w:r w:rsidR="001E2A8A" w:rsidRPr="00C34C61">
        <w:rPr>
          <w:sz w:val="24"/>
          <w:szCs w:val="24"/>
        </w:rPr>
        <w:t>Ministry of Water Resources, River Development and Ganga Rejuvenation</w:t>
      </w:r>
      <w:r w:rsidR="00D23DBF" w:rsidRPr="00C34C61">
        <w:rPr>
          <w:sz w:val="24"/>
          <w:szCs w:val="24"/>
        </w:rPr>
        <w:t>.</w:t>
      </w:r>
      <w:r w:rsidRPr="00C34C61">
        <w:rPr>
          <w:sz w:val="24"/>
          <w:szCs w:val="24"/>
        </w:rPr>
        <w:t xml:space="preserve"> The reports are scheduled for laying in the budget session of the Parliament.</w:t>
      </w:r>
    </w:p>
    <w:p w14:paraId="34F8A454" w14:textId="27D5A3E6" w:rsidR="00397C93" w:rsidRPr="00C34C61" w:rsidRDefault="00E37AE2" w:rsidP="00375CBD">
      <w:pPr>
        <w:pBdr>
          <w:bottom w:val="single" w:sz="4" w:space="1" w:color="auto"/>
        </w:pBdr>
        <w:spacing w:line="360" w:lineRule="auto"/>
        <w:rPr>
          <w:b/>
          <w:bCs/>
          <w:sz w:val="24"/>
          <w:szCs w:val="24"/>
        </w:rPr>
      </w:pPr>
      <w:r w:rsidRPr="00C34C61">
        <w:rPr>
          <w:b/>
          <w:bCs/>
          <w:sz w:val="24"/>
          <w:szCs w:val="24"/>
        </w:rPr>
        <w:t>Promoting G</w:t>
      </w:r>
      <w:r w:rsidR="00CA29A4">
        <w:rPr>
          <w:b/>
          <w:bCs/>
          <w:sz w:val="24"/>
          <w:szCs w:val="24"/>
        </w:rPr>
        <w:t>reen D</w:t>
      </w:r>
      <w:r w:rsidR="00397C93" w:rsidRPr="00C34C61">
        <w:rPr>
          <w:b/>
          <w:bCs/>
          <w:sz w:val="24"/>
          <w:szCs w:val="24"/>
        </w:rPr>
        <w:t>evelopment mod</w:t>
      </w:r>
      <w:r w:rsidR="00D23DBF" w:rsidRPr="00C34C61">
        <w:rPr>
          <w:b/>
          <w:bCs/>
          <w:sz w:val="24"/>
          <w:szCs w:val="24"/>
        </w:rPr>
        <w:t>el:</w:t>
      </w:r>
    </w:p>
    <w:p w14:paraId="41C4F0E0" w14:textId="7D4B5C9C" w:rsidR="006638B2" w:rsidRPr="00C34C61" w:rsidRDefault="001E2A8A" w:rsidP="00E37AE2">
      <w:pPr>
        <w:pStyle w:val="NormalWeb"/>
        <w:shd w:val="clear" w:color="auto" w:fill="FFFFFF"/>
        <w:spacing w:before="0" w:beforeAutospacing="0" w:after="0" w:afterAutospacing="0" w:line="360" w:lineRule="auto"/>
        <w:jc w:val="both"/>
        <w:rPr>
          <w:rFonts w:asciiTheme="minorHAnsi" w:hAnsiTheme="minorHAnsi"/>
        </w:rPr>
      </w:pPr>
      <w:r w:rsidRPr="00C34C61">
        <w:rPr>
          <w:rFonts w:asciiTheme="minorHAnsi" w:hAnsiTheme="minorHAnsi"/>
        </w:rPr>
        <w:t>After 200 years of industrial expansion,</w:t>
      </w:r>
      <w:r w:rsidRPr="00C34C61">
        <w:rPr>
          <w:rFonts w:asciiTheme="minorHAnsi" w:hAnsiTheme="minorHAnsi"/>
          <w:color w:val="FF0000"/>
        </w:rPr>
        <w:t xml:space="preserve"> </w:t>
      </w:r>
      <w:r w:rsidRPr="00C34C61">
        <w:rPr>
          <w:rFonts w:asciiTheme="minorHAnsi" w:hAnsiTheme="minorHAnsi"/>
        </w:rPr>
        <w:t xml:space="preserve">the issue of </w:t>
      </w:r>
      <w:r w:rsidR="00085D31" w:rsidRPr="00C34C61">
        <w:rPr>
          <w:rFonts w:asciiTheme="minorHAnsi" w:hAnsiTheme="minorHAnsi"/>
        </w:rPr>
        <w:t>human developme</w:t>
      </w:r>
      <w:r w:rsidRPr="00C34C61">
        <w:rPr>
          <w:rFonts w:asciiTheme="minorHAnsi" w:hAnsiTheme="minorHAnsi"/>
        </w:rPr>
        <w:t xml:space="preserve">nt is at a historic crossroads necessitating </w:t>
      </w:r>
      <w:r w:rsidR="00085D31" w:rsidRPr="00C34C61">
        <w:rPr>
          <w:rFonts w:asciiTheme="minorHAnsi" w:hAnsiTheme="minorHAnsi"/>
        </w:rPr>
        <w:t xml:space="preserve">fundamental changes to deal with the serious </w:t>
      </w:r>
      <w:r w:rsidR="00E37AE2" w:rsidRPr="00C34C61">
        <w:rPr>
          <w:rFonts w:asciiTheme="minorHAnsi" w:hAnsiTheme="minorHAnsi"/>
        </w:rPr>
        <w:t xml:space="preserve">environmental </w:t>
      </w:r>
      <w:r w:rsidR="00085D31" w:rsidRPr="00C34C61">
        <w:rPr>
          <w:rFonts w:asciiTheme="minorHAnsi" w:hAnsiTheme="minorHAnsi"/>
        </w:rPr>
        <w:t>challenges</w:t>
      </w:r>
      <w:r w:rsidRPr="00C34C61">
        <w:rPr>
          <w:rFonts w:asciiTheme="minorHAnsi" w:hAnsiTheme="minorHAnsi"/>
        </w:rPr>
        <w:t xml:space="preserve"> that we face</w:t>
      </w:r>
      <w:r w:rsidR="00085D31" w:rsidRPr="00C34C61">
        <w:rPr>
          <w:rFonts w:asciiTheme="minorHAnsi" w:hAnsiTheme="minorHAnsi"/>
        </w:rPr>
        <w:t xml:space="preserve">. </w:t>
      </w:r>
      <w:r w:rsidR="003210E5" w:rsidRPr="00C34C61">
        <w:rPr>
          <w:rFonts w:asciiTheme="minorHAnsi" w:hAnsiTheme="minorHAnsi"/>
        </w:rPr>
        <w:t xml:space="preserve">The concept of </w:t>
      </w:r>
      <w:r w:rsidR="00085D31" w:rsidRPr="00C34C61">
        <w:rPr>
          <w:rFonts w:asciiTheme="minorHAnsi" w:hAnsiTheme="minorHAnsi"/>
        </w:rPr>
        <w:t xml:space="preserve">green development </w:t>
      </w:r>
      <w:r w:rsidR="003210E5" w:rsidRPr="00C34C61">
        <w:rPr>
          <w:rFonts w:asciiTheme="minorHAnsi" w:hAnsiTheme="minorHAnsi"/>
        </w:rPr>
        <w:t>acquires salience,</w:t>
      </w:r>
      <w:r w:rsidR="00085D31" w:rsidRPr="00C34C61">
        <w:rPr>
          <w:rFonts w:asciiTheme="minorHAnsi" w:hAnsiTheme="minorHAnsi"/>
        </w:rPr>
        <w:t xml:space="preserve"> gradually open</w:t>
      </w:r>
      <w:r w:rsidR="003210E5" w:rsidRPr="00C34C61">
        <w:rPr>
          <w:rFonts w:asciiTheme="minorHAnsi" w:hAnsiTheme="minorHAnsi"/>
        </w:rPr>
        <w:t>ing</w:t>
      </w:r>
      <w:r w:rsidR="00085D31" w:rsidRPr="00C34C61">
        <w:rPr>
          <w:rFonts w:asciiTheme="minorHAnsi" w:hAnsiTheme="minorHAnsi"/>
        </w:rPr>
        <w:t xml:space="preserve"> up a modern path of development.</w:t>
      </w:r>
      <w:r w:rsidR="003210E5" w:rsidRPr="00C34C61">
        <w:rPr>
          <w:rFonts w:asciiTheme="minorHAnsi" w:hAnsiTheme="minorHAnsi"/>
        </w:rPr>
        <w:t xml:space="preserve"> </w:t>
      </w:r>
    </w:p>
    <w:p w14:paraId="3B598A5B" w14:textId="7743EFFC" w:rsidR="006638B2" w:rsidRPr="00C34C61" w:rsidRDefault="00E37AE2" w:rsidP="00E37AE2">
      <w:pPr>
        <w:pStyle w:val="NormalWeb"/>
        <w:shd w:val="clear" w:color="auto" w:fill="FFFFFF"/>
        <w:spacing w:before="0" w:beforeAutospacing="0" w:after="0" w:afterAutospacing="0" w:line="360" w:lineRule="auto"/>
        <w:jc w:val="both"/>
        <w:rPr>
          <w:rFonts w:asciiTheme="minorHAnsi" w:hAnsiTheme="minorHAnsi"/>
        </w:rPr>
      </w:pPr>
      <w:r w:rsidRPr="00C34C61">
        <w:rPr>
          <w:rFonts w:asciiTheme="minorHAnsi" w:hAnsiTheme="minorHAnsi" w:cs="Arial"/>
        </w:rPr>
        <w:t xml:space="preserve">First, </w:t>
      </w:r>
      <w:r w:rsidR="00085D31" w:rsidRPr="00C34C61">
        <w:rPr>
          <w:rFonts w:asciiTheme="minorHAnsi" w:hAnsiTheme="minorHAnsi" w:cs="Arial"/>
        </w:rPr>
        <w:t>as India surges along its projected growth trajectory</w:t>
      </w:r>
      <w:r w:rsidRPr="00C34C61">
        <w:rPr>
          <w:rFonts w:asciiTheme="minorHAnsi" w:hAnsiTheme="minorHAnsi" w:cs="Arial"/>
        </w:rPr>
        <w:t>, environmental sustainability could become the next major challenge</w:t>
      </w:r>
    </w:p>
    <w:p w14:paraId="751D9BBF" w14:textId="77777777" w:rsidR="006638B2" w:rsidRPr="00C34C61" w:rsidRDefault="00085D31" w:rsidP="00E37AE2">
      <w:pPr>
        <w:pStyle w:val="NormalWeb"/>
        <w:shd w:val="clear" w:color="auto" w:fill="FFFFFF"/>
        <w:spacing w:before="0" w:beforeAutospacing="0" w:after="0" w:afterAutospacing="0" w:line="360" w:lineRule="auto"/>
        <w:jc w:val="both"/>
        <w:rPr>
          <w:rFonts w:asciiTheme="minorHAnsi" w:hAnsiTheme="minorHAnsi"/>
        </w:rPr>
      </w:pPr>
      <w:r w:rsidRPr="00C34C61">
        <w:rPr>
          <w:rFonts w:asciiTheme="minorHAnsi" w:hAnsiTheme="minorHAnsi" w:cs="Arial"/>
        </w:rPr>
        <w:t xml:space="preserve">Second, </w:t>
      </w:r>
      <w:r w:rsidR="000A2AFB" w:rsidRPr="00C34C61">
        <w:rPr>
          <w:rFonts w:asciiTheme="minorHAnsi" w:hAnsiTheme="minorHAnsi" w:cs="Arial"/>
        </w:rPr>
        <w:t>a</w:t>
      </w:r>
      <w:r w:rsidRPr="00C34C61">
        <w:rPr>
          <w:rFonts w:asciiTheme="minorHAnsi" w:hAnsiTheme="minorHAnsi" w:cs="Arial"/>
        </w:rPr>
        <w:t xml:space="preserve"> low-emission, resource-efficient greening of the economy should be possible at a very low cost in terms of GDP growth. While a more aggressive low-emission strategy comes at a slightly higher price tag for the economy it promises to deliver greater benefits.</w:t>
      </w:r>
    </w:p>
    <w:p w14:paraId="0BECF4A9" w14:textId="2F38D884" w:rsidR="00085D31" w:rsidRPr="00C34C61" w:rsidRDefault="00085D31" w:rsidP="004E5E58">
      <w:pPr>
        <w:pStyle w:val="NormalWeb"/>
        <w:shd w:val="clear" w:color="auto" w:fill="FFFFFF"/>
        <w:spacing w:before="0" w:beforeAutospacing="0" w:after="0" w:afterAutospacing="0" w:line="360" w:lineRule="auto"/>
        <w:jc w:val="both"/>
        <w:rPr>
          <w:rFonts w:asciiTheme="minorHAnsi" w:hAnsiTheme="minorHAnsi" w:cs="Arial"/>
        </w:rPr>
      </w:pPr>
      <w:r w:rsidRPr="00C34C61">
        <w:rPr>
          <w:rFonts w:asciiTheme="minorHAnsi" w:hAnsiTheme="minorHAnsi" w:cs="Arial"/>
        </w:rPr>
        <w:t xml:space="preserve">Third, </w:t>
      </w:r>
      <w:r w:rsidR="000A2AFB" w:rsidRPr="00C34C61">
        <w:rPr>
          <w:rFonts w:asciiTheme="minorHAnsi" w:hAnsiTheme="minorHAnsi" w:cs="Arial"/>
        </w:rPr>
        <w:t>for</w:t>
      </w:r>
      <w:r w:rsidRPr="00C34C61">
        <w:rPr>
          <w:rFonts w:asciiTheme="minorHAnsi" w:hAnsiTheme="minorHAnsi" w:cs="Arial"/>
        </w:rPr>
        <w:t xml:space="preserve"> an environmentally sustainable future, </w:t>
      </w:r>
      <w:r w:rsidR="00E37AE2" w:rsidRPr="00C34C61">
        <w:rPr>
          <w:rFonts w:asciiTheme="minorHAnsi" w:hAnsiTheme="minorHAnsi" w:cs="Arial"/>
        </w:rPr>
        <w:t>need for valuing</w:t>
      </w:r>
      <w:r w:rsidRPr="00C34C61">
        <w:rPr>
          <w:rFonts w:asciiTheme="minorHAnsi" w:hAnsiTheme="minorHAnsi" w:cs="Arial"/>
        </w:rPr>
        <w:t xml:space="preserve"> </w:t>
      </w:r>
      <w:r w:rsidR="00E37AE2" w:rsidRPr="00C34C61">
        <w:rPr>
          <w:rFonts w:asciiTheme="minorHAnsi" w:hAnsiTheme="minorHAnsi" w:cs="Arial"/>
        </w:rPr>
        <w:t xml:space="preserve">our </w:t>
      </w:r>
      <w:r w:rsidRPr="00C34C61">
        <w:rPr>
          <w:rFonts w:asciiTheme="minorHAnsi" w:hAnsiTheme="minorHAnsi" w:cs="Arial"/>
        </w:rPr>
        <w:t xml:space="preserve">natural resources and ecosystem services </w:t>
      </w:r>
      <w:r w:rsidR="00E37AE2" w:rsidRPr="00C34C61">
        <w:rPr>
          <w:rFonts w:asciiTheme="minorHAnsi" w:hAnsiTheme="minorHAnsi" w:cs="Arial"/>
        </w:rPr>
        <w:t>acquires more salience</w:t>
      </w:r>
      <w:r w:rsidR="004E5E58" w:rsidRPr="00C34C61">
        <w:rPr>
          <w:rFonts w:asciiTheme="minorHAnsi" w:hAnsiTheme="minorHAnsi" w:cs="Arial"/>
        </w:rPr>
        <w:t xml:space="preserve"> today than ever before.</w:t>
      </w:r>
    </w:p>
    <w:p w14:paraId="1C72BE0E" w14:textId="169FB1C0" w:rsidR="00397C93" w:rsidRPr="00C34C61" w:rsidRDefault="00397C93" w:rsidP="004E5E58">
      <w:pPr>
        <w:pBdr>
          <w:bottom w:val="single" w:sz="4" w:space="1" w:color="auto"/>
        </w:pBdr>
        <w:spacing w:before="240" w:line="360" w:lineRule="auto"/>
        <w:rPr>
          <w:b/>
          <w:bCs/>
          <w:sz w:val="24"/>
          <w:szCs w:val="24"/>
        </w:rPr>
      </w:pPr>
      <w:r w:rsidRPr="00C34C61">
        <w:rPr>
          <w:b/>
          <w:bCs/>
          <w:sz w:val="24"/>
          <w:szCs w:val="24"/>
        </w:rPr>
        <w:t>Specific cases of Envir</w:t>
      </w:r>
      <w:r w:rsidR="00C34C61" w:rsidRPr="00C34C61">
        <w:rPr>
          <w:b/>
          <w:bCs/>
          <w:sz w:val="24"/>
          <w:szCs w:val="24"/>
        </w:rPr>
        <w:t>onmental A</w:t>
      </w:r>
      <w:r w:rsidR="00CC0FF3" w:rsidRPr="00C34C61">
        <w:rPr>
          <w:b/>
          <w:bCs/>
          <w:sz w:val="24"/>
          <w:szCs w:val="24"/>
        </w:rPr>
        <w:t>udits in recent years</w:t>
      </w:r>
    </w:p>
    <w:p w14:paraId="78F1DD93" w14:textId="04ACB0D5" w:rsidR="00E81BB9" w:rsidRPr="00C34C61" w:rsidRDefault="00C34C61" w:rsidP="00C34C61">
      <w:pPr>
        <w:pStyle w:val="ListParagraph"/>
        <w:numPr>
          <w:ilvl w:val="0"/>
          <w:numId w:val="11"/>
        </w:numPr>
        <w:shd w:val="clear" w:color="auto" w:fill="FFFFFF" w:themeFill="background1"/>
        <w:spacing w:line="360" w:lineRule="auto"/>
        <w:ind w:left="567" w:firstLine="0"/>
        <w:rPr>
          <w:b/>
          <w:bCs/>
          <w:sz w:val="24"/>
          <w:szCs w:val="24"/>
          <w:u w:val="single"/>
        </w:rPr>
      </w:pPr>
      <w:r>
        <w:rPr>
          <w:b/>
          <w:bCs/>
          <w:sz w:val="24"/>
          <w:szCs w:val="24"/>
          <w:u w:val="single"/>
        </w:rPr>
        <w:t xml:space="preserve"> </w:t>
      </w:r>
      <w:r w:rsidR="00E81BB9" w:rsidRPr="00C34C61">
        <w:rPr>
          <w:b/>
          <w:bCs/>
          <w:sz w:val="24"/>
          <w:szCs w:val="24"/>
          <w:u w:val="single"/>
        </w:rPr>
        <w:t>Compensatory Afforestation in India</w:t>
      </w:r>
    </w:p>
    <w:p w14:paraId="71CE3CF9" w14:textId="0B314D5D" w:rsidR="003210E5" w:rsidRPr="00C34C61" w:rsidRDefault="00E81BB9" w:rsidP="003210E5">
      <w:pPr>
        <w:spacing w:line="360" w:lineRule="auto"/>
        <w:jc w:val="both"/>
        <w:rPr>
          <w:sz w:val="24"/>
          <w:szCs w:val="24"/>
        </w:rPr>
      </w:pPr>
      <w:r w:rsidRPr="00C34C61">
        <w:rPr>
          <w:sz w:val="24"/>
          <w:szCs w:val="24"/>
        </w:rPr>
        <w:t xml:space="preserve">The </w:t>
      </w:r>
      <w:r w:rsidR="004E5E58" w:rsidRPr="00C34C61">
        <w:rPr>
          <w:sz w:val="24"/>
          <w:szCs w:val="24"/>
        </w:rPr>
        <w:t xml:space="preserve">Hon’ble </w:t>
      </w:r>
      <w:r w:rsidRPr="00C34C61">
        <w:rPr>
          <w:sz w:val="24"/>
          <w:szCs w:val="24"/>
        </w:rPr>
        <w:t xml:space="preserve">Supreme Court of India directed </w:t>
      </w:r>
      <w:r w:rsidR="004E5E58" w:rsidRPr="00C34C61">
        <w:rPr>
          <w:sz w:val="24"/>
          <w:szCs w:val="24"/>
        </w:rPr>
        <w:t>(</w:t>
      </w:r>
      <w:r w:rsidRPr="00C34C61">
        <w:rPr>
          <w:sz w:val="24"/>
          <w:szCs w:val="24"/>
        </w:rPr>
        <w:t>October 2002</w:t>
      </w:r>
      <w:r w:rsidR="004E5E58" w:rsidRPr="00C34C61">
        <w:rPr>
          <w:sz w:val="24"/>
          <w:szCs w:val="24"/>
        </w:rPr>
        <w:t>)</w:t>
      </w:r>
      <w:r w:rsidRPr="00C34C61">
        <w:rPr>
          <w:sz w:val="24"/>
          <w:szCs w:val="24"/>
        </w:rPr>
        <w:t xml:space="preserve"> that a ‘Compensatory Afforestation Fund’ (CAF) shall be created in which all the monies received from the user-agencies towards compensatory afforestation, additional compensatory afforestation, penal compensatory afforestation, net present value of forest land, catchment area treatment plan funds, etc. shall be deposited. CAF was to compensate for the loss of tangible as well as intangibl</w:t>
      </w:r>
      <w:r w:rsidR="00CA29A4">
        <w:rPr>
          <w:sz w:val="24"/>
          <w:szCs w:val="24"/>
        </w:rPr>
        <w:t>e benefits from the forest</w:t>
      </w:r>
      <w:r w:rsidR="004E5E58" w:rsidRPr="00C34C61">
        <w:rPr>
          <w:sz w:val="24"/>
          <w:szCs w:val="24"/>
        </w:rPr>
        <w:t>land</w:t>
      </w:r>
      <w:r w:rsidR="00CA29A4">
        <w:rPr>
          <w:sz w:val="24"/>
          <w:szCs w:val="24"/>
        </w:rPr>
        <w:t>,</w:t>
      </w:r>
      <w:r w:rsidRPr="00C34C61">
        <w:rPr>
          <w:sz w:val="24"/>
          <w:szCs w:val="24"/>
        </w:rPr>
        <w:t xml:space="preserve"> diverted for non-forest use. </w:t>
      </w:r>
      <w:r w:rsidR="00CA29A4">
        <w:rPr>
          <w:sz w:val="24"/>
          <w:szCs w:val="24"/>
        </w:rPr>
        <w:t>The Hon’ble Court directed the use of such fund f</w:t>
      </w:r>
      <w:r w:rsidRPr="00C34C61">
        <w:rPr>
          <w:sz w:val="24"/>
          <w:szCs w:val="24"/>
        </w:rPr>
        <w:t xml:space="preserve">or natural assisted regeneration, forest management, protection, infrastructure development, wildlife protection and management, supply of wood </w:t>
      </w:r>
      <w:r w:rsidRPr="00C34C61">
        <w:rPr>
          <w:sz w:val="24"/>
          <w:szCs w:val="24"/>
        </w:rPr>
        <w:lastRenderedPageBreak/>
        <w:t xml:space="preserve">and other forest produce saving devices and other allied activities. The Court observed that the fund would not be part of general revenues of the Union, of the States or part of the Consolidated Fund of India. </w:t>
      </w:r>
    </w:p>
    <w:p w14:paraId="1005FDF1" w14:textId="7CEF9163" w:rsidR="00AE70EC" w:rsidRPr="00C34C61" w:rsidRDefault="004E5E58" w:rsidP="003210E5">
      <w:pPr>
        <w:spacing w:line="360" w:lineRule="auto"/>
        <w:jc w:val="both"/>
        <w:rPr>
          <w:sz w:val="24"/>
          <w:szCs w:val="24"/>
        </w:rPr>
      </w:pPr>
      <w:r w:rsidRPr="00C34C61">
        <w:rPr>
          <w:sz w:val="24"/>
          <w:szCs w:val="24"/>
        </w:rPr>
        <w:t xml:space="preserve">Union </w:t>
      </w:r>
      <w:r w:rsidR="00E81BB9" w:rsidRPr="00C34C61">
        <w:rPr>
          <w:sz w:val="24"/>
          <w:szCs w:val="24"/>
        </w:rPr>
        <w:t>Ministry of Environment and Forests (</w:t>
      </w:r>
      <w:proofErr w:type="spellStart"/>
      <w:r w:rsidR="00E81BB9" w:rsidRPr="00C34C61">
        <w:rPr>
          <w:sz w:val="24"/>
          <w:szCs w:val="24"/>
        </w:rPr>
        <w:t>MoEF</w:t>
      </w:r>
      <w:proofErr w:type="spellEnd"/>
      <w:r w:rsidR="00E81BB9" w:rsidRPr="00C34C61">
        <w:rPr>
          <w:sz w:val="24"/>
          <w:szCs w:val="24"/>
        </w:rPr>
        <w:t>) notified the Compensatory Afforestation Management Funds Management and Planning Authority (CAMPA) in April 2004 for the management of the compensatory afforestation fund</w:t>
      </w:r>
      <w:r w:rsidR="003210E5" w:rsidRPr="00C34C61">
        <w:rPr>
          <w:sz w:val="24"/>
          <w:szCs w:val="24"/>
        </w:rPr>
        <w:t xml:space="preserve"> as per direction (October 2002) of the Hon’ble Supreme Court of India (the Court)</w:t>
      </w:r>
      <w:r w:rsidR="00E81BB9" w:rsidRPr="00C34C61">
        <w:rPr>
          <w:sz w:val="24"/>
          <w:szCs w:val="24"/>
        </w:rPr>
        <w:t>.</w:t>
      </w:r>
      <w:r w:rsidR="00AE70EC" w:rsidRPr="00C34C61">
        <w:rPr>
          <w:sz w:val="24"/>
          <w:szCs w:val="24"/>
        </w:rPr>
        <w:t xml:space="preserve"> </w:t>
      </w:r>
    </w:p>
    <w:p w14:paraId="163C07AE" w14:textId="00099A67" w:rsidR="00640C2B" w:rsidRPr="00C34C61" w:rsidRDefault="003210E5" w:rsidP="00640C2B">
      <w:pPr>
        <w:spacing w:line="360" w:lineRule="auto"/>
        <w:jc w:val="both"/>
        <w:rPr>
          <w:sz w:val="24"/>
          <w:szCs w:val="24"/>
        </w:rPr>
      </w:pPr>
      <w:r w:rsidRPr="00C34C61">
        <w:rPr>
          <w:sz w:val="24"/>
          <w:szCs w:val="24"/>
        </w:rPr>
        <w:t>Subsequently, t</w:t>
      </w:r>
      <w:r w:rsidR="00E81BB9" w:rsidRPr="00C34C61">
        <w:rPr>
          <w:sz w:val="24"/>
          <w:szCs w:val="24"/>
        </w:rPr>
        <w:t xml:space="preserve">he Court ordered the constitution of an ad-hoc body (known as </w:t>
      </w:r>
      <w:r w:rsidR="004E5E58" w:rsidRPr="00C34C61">
        <w:rPr>
          <w:sz w:val="24"/>
          <w:szCs w:val="24"/>
        </w:rPr>
        <w:t>‘Ad-hoc CAMPA’), till CAMPA beco</w:t>
      </w:r>
      <w:r w:rsidR="00E81BB9" w:rsidRPr="00C34C61">
        <w:rPr>
          <w:sz w:val="24"/>
          <w:szCs w:val="24"/>
        </w:rPr>
        <w:t>me</w:t>
      </w:r>
      <w:r w:rsidR="00CA29A4">
        <w:rPr>
          <w:sz w:val="24"/>
          <w:szCs w:val="24"/>
        </w:rPr>
        <w:t>s</w:t>
      </w:r>
      <w:r w:rsidR="00E81BB9" w:rsidRPr="00C34C61">
        <w:rPr>
          <w:sz w:val="24"/>
          <w:szCs w:val="24"/>
        </w:rPr>
        <w:t xml:space="preserve"> operational. The </w:t>
      </w:r>
      <w:r w:rsidR="004E5E58" w:rsidRPr="00C34C61">
        <w:rPr>
          <w:sz w:val="24"/>
          <w:szCs w:val="24"/>
        </w:rPr>
        <w:t xml:space="preserve">Hon’ble </w:t>
      </w:r>
      <w:r w:rsidR="00E81BB9" w:rsidRPr="00C34C61">
        <w:rPr>
          <w:sz w:val="24"/>
          <w:szCs w:val="24"/>
        </w:rPr>
        <w:t xml:space="preserve">Court ordered </w:t>
      </w:r>
      <w:r w:rsidR="004E5E58" w:rsidRPr="00C34C61">
        <w:rPr>
          <w:sz w:val="24"/>
          <w:szCs w:val="24"/>
        </w:rPr>
        <w:t>transfer of</w:t>
      </w:r>
      <w:r w:rsidR="00E81BB9" w:rsidRPr="00C34C61">
        <w:rPr>
          <w:sz w:val="24"/>
          <w:szCs w:val="24"/>
        </w:rPr>
        <w:t xml:space="preserve"> all monies recovered on behalf of the CAMPA </w:t>
      </w:r>
      <w:r w:rsidR="004E5E58" w:rsidRPr="00C34C61">
        <w:rPr>
          <w:sz w:val="24"/>
          <w:szCs w:val="24"/>
        </w:rPr>
        <w:t xml:space="preserve">to Ad-hoc CAMPA and </w:t>
      </w:r>
      <w:r w:rsidR="00E81BB9" w:rsidRPr="00C34C61">
        <w:rPr>
          <w:sz w:val="24"/>
          <w:szCs w:val="24"/>
        </w:rPr>
        <w:t xml:space="preserve">audited by </w:t>
      </w:r>
      <w:r w:rsidR="00AE70EC" w:rsidRPr="00C34C61">
        <w:rPr>
          <w:sz w:val="24"/>
          <w:szCs w:val="24"/>
        </w:rPr>
        <w:t xml:space="preserve">an auditor appointed by </w:t>
      </w:r>
      <w:r w:rsidR="00E81BB9" w:rsidRPr="00C34C61">
        <w:rPr>
          <w:sz w:val="24"/>
          <w:szCs w:val="24"/>
        </w:rPr>
        <w:t xml:space="preserve">the </w:t>
      </w:r>
      <w:r w:rsidR="00AE70EC" w:rsidRPr="00C34C61">
        <w:rPr>
          <w:sz w:val="24"/>
          <w:szCs w:val="24"/>
        </w:rPr>
        <w:t>C</w:t>
      </w:r>
      <w:r w:rsidR="004E5E58" w:rsidRPr="00C34C61">
        <w:rPr>
          <w:sz w:val="24"/>
          <w:szCs w:val="24"/>
        </w:rPr>
        <w:t xml:space="preserve"> &amp; </w:t>
      </w:r>
      <w:r w:rsidR="00AE70EC" w:rsidRPr="00C34C61">
        <w:rPr>
          <w:sz w:val="24"/>
          <w:szCs w:val="24"/>
        </w:rPr>
        <w:t xml:space="preserve">AG </w:t>
      </w:r>
      <w:r w:rsidR="00CA29A4">
        <w:rPr>
          <w:sz w:val="24"/>
          <w:szCs w:val="24"/>
        </w:rPr>
        <w:t>of India. We conducted the</w:t>
      </w:r>
      <w:r w:rsidR="00E81BB9" w:rsidRPr="00C34C61">
        <w:rPr>
          <w:sz w:val="24"/>
          <w:szCs w:val="24"/>
        </w:rPr>
        <w:t xml:space="preserve"> audit of Compensa</w:t>
      </w:r>
      <w:r w:rsidR="00A51DD6" w:rsidRPr="00C34C61">
        <w:rPr>
          <w:sz w:val="24"/>
          <w:szCs w:val="24"/>
        </w:rPr>
        <w:t xml:space="preserve">tory Afforestation </w:t>
      </w:r>
      <w:r w:rsidR="00CA29A4">
        <w:rPr>
          <w:sz w:val="24"/>
          <w:szCs w:val="24"/>
        </w:rPr>
        <w:t xml:space="preserve">during </w:t>
      </w:r>
      <w:r w:rsidR="00E81BB9" w:rsidRPr="00C34C61">
        <w:rPr>
          <w:sz w:val="24"/>
          <w:szCs w:val="24"/>
        </w:rPr>
        <w:t>2012.</w:t>
      </w:r>
      <w:r w:rsidR="00CA29A4">
        <w:rPr>
          <w:sz w:val="24"/>
          <w:szCs w:val="24"/>
        </w:rPr>
        <w:t xml:space="preserve"> T</w:t>
      </w:r>
      <w:r w:rsidR="00E81BB9" w:rsidRPr="00C34C61">
        <w:rPr>
          <w:sz w:val="24"/>
          <w:szCs w:val="24"/>
        </w:rPr>
        <w:t>he Compensatory Afforestation Fund</w:t>
      </w:r>
      <w:r w:rsidR="00CA29A4">
        <w:rPr>
          <w:sz w:val="24"/>
          <w:szCs w:val="24"/>
        </w:rPr>
        <w:t xml:space="preserve">s with Ad-hoc CAMPA grew from </w:t>
      </w:r>
      <w:r w:rsidR="00CA29A4">
        <w:rPr>
          <w:rFonts w:ascii="Rupee Foradian" w:hAnsi="Rupee Foradian"/>
          <w:sz w:val="24"/>
          <w:szCs w:val="24"/>
        </w:rPr>
        <w:t>`</w:t>
      </w:r>
      <w:r w:rsidR="00CA29A4">
        <w:rPr>
          <w:sz w:val="24"/>
          <w:szCs w:val="24"/>
        </w:rPr>
        <w:t xml:space="preserve">1,200 crore to </w:t>
      </w:r>
      <w:r w:rsidR="00CA29A4">
        <w:rPr>
          <w:rFonts w:ascii="Rupee Foradian" w:hAnsi="Rupee Foradian"/>
          <w:sz w:val="24"/>
          <w:szCs w:val="24"/>
        </w:rPr>
        <w:t>`</w:t>
      </w:r>
      <w:r w:rsidR="00E81BB9" w:rsidRPr="00C34C61">
        <w:rPr>
          <w:sz w:val="24"/>
          <w:szCs w:val="24"/>
        </w:rPr>
        <w:t>23,607.67 crore</w:t>
      </w:r>
      <w:r w:rsidR="00CA29A4" w:rsidRPr="00CA29A4">
        <w:rPr>
          <w:sz w:val="24"/>
          <w:szCs w:val="24"/>
        </w:rPr>
        <w:t xml:space="preserve"> </w:t>
      </w:r>
      <w:r w:rsidR="00CA29A4">
        <w:rPr>
          <w:sz w:val="24"/>
          <w:szCs w:val="24"/>
        </w:rPr>
        <w:t>d</w:t>
      </w:r>
      <w:r w:rsidR="00CA29A4" w:rsidRPr="00C34C61">
        <w:rPr>
          <w:sz w:val="24"/>
          <w:szCs w:val="24"/>
        </w:rPr>
        <w:t>uring the period 2006 and 2012</w:t>
      </w:r>
      <w:r w:rsidR="00E81BB9" w:rsidRPr="00C34C61">
        <w:rPr>
          <w:sz w:val="24"/>
          <w:szCs w:val="24"/>
        </w:rPr>
        <w:t>.</w:t>
      </w:r>
    </w:p>
    <w:p w14:paraId="59493A57" w14:textId="3A32F173" w:rsidR="00640C2B" w:rsidRPr="00C34C61" w:rsidRDefault="00640C2B" w:rsidP="004E5E58">
      <w:pPr>
        <w:spacing w:line="360" w:lineRule="auto"/>
        <w:jc w:val="both"/>
        <w:rPr>
          <w:sz w:val="24"/>
          <w:szCs w:val="24"/>
        </w:rPr>
      </w:pPr>
      <w:r w:rsidRPr="00C34C61">
        <w:rPr>
          <w:sz w:val="24"/>
          <w:szCs w:val="24"/>
        </w:rPr>
        <w:t>We noticed serious shortcomi</w:t>
      </w:r>
      <w:r w:rsidR="004E5E58" w:rsidRPr="00C34C61">
        <w:rPr>
          <w:sz w:val="24"/>
          <w:szCs w:val="24"/>
        </w:rPr>
        <w:t>ngs in regulatory issues relating to diversion of forest</w:t>
      </w:r>
      <w:r w:rsidRPr="00C34C61">
        <w:rPr>
          <w:sz w:val="24"/>
          <w:szCs w:val="24"/>
        </w:rPr>
        <w:t xml:space="preserve">land, the abject failure to promote compensatory afforestation, unauthorized diversion </w:t>
      </w:r>
      <w:r w:rsidR="004E5E58" w:rsidRPr="00C34C61">
        <w:rPr>
          <w:sz w:val="24"/>
          <w:szCs w:val="24"/>
        </w:rPr>
        <w:t>of forest</w:t>
      </w:r>
      <w:r w:rsidRPr="00C34C61">
        <w:rPr>
          <w:sz w:val="24"/>
          <w:szCs w:val="24"/>
        </w:rPr>
        <w:t>land in the case of mining and the attendant violation of the environmental regime.</w:t>
      </w:r>
    </w:p>
    <w:p w14:paraId="1A098259" w14:textId="47B9D6E2" w:rsidR="00640C2B" w:rsidRPr="00C34C61" w:rsidRDefault="00640C2B" w:rsidP="004E5E58">
      <w:pPr>
        <w:spacing w:line="360" w:lineRule="auto"/>
        <w:jc w:val="both"/>
        <w:rPr>
          <w:sz w:val="24"/>
          <w:szCs w:val="24"/>
        </w:rPr>
      </w:pPr>
      <w:r w:rsidRPr="00C34C61">
        <w:rPr>
          <w:sz w:val="24"/>
          <w:szCs w:val="24"/>
        </w:rPr>
        <w:t xml:space="preserve">The Ad-hoc CAMPA was ineffective in ensuring complete and timely transfer of all monies collected by States/Union Territories (UT)s towards Compensatory Afforestation Fund to the Ad-hoc CAMPA accounts. </w:t>
      </w:r>
      <w:r w:rsidR="00CA29A4">
        <w:rPr>
          <w:sz w:val="24"/>
          <w:szCs w:val="24"/>
        </w:rPr>
        <w:t xml:space="preserve">Out of </w:t>
      </w:r>
      <w:r w:rsidR="00CA29A4">
        <w:rPr>
          <w:rFonts w:ascii="Rupee Foradian" w:hAnsi="Rupee Foradian"/>
          <w:sz w:val="24"/>
          <w:szCs w:val="24"/>
        </w:rPr>
        <w:t>`</w:t>
      </w:r>
      <w:r w:rsidRPr="00C34C61">
        <w:rPr>
          <w:sz w:val="24"/>
          <w:szCs w:val="24"/>
        </w:rPr>
        <w:t>2,925.65 crore released by Ad-hoc CAMPA during the period 2009-</w:t>
      </w:r>
      <w:r w:rsidR="00A51DD6" w:rsidRPr="00C34C61">
        <w:rPr>
          <w:sz w:val="24"/>
          <w:szCs w:val="24"/>
        </w:rPr>
        <w:t>10 to 2011-</w:t>
      </w:r>
      <w:r w:rsidRPr="00C34C61">
        <w:rPr>
          <w:sz w:val="24"/>
          <w:szCs w:val="24"/>
        </w:rPr>
        <w:t>12</w:t>
      </w:r>
      <w:r w:rsidR="00A51DD6" w:rsidRPr="00C34C61">
        <w:rPr>
          <w:sz w:val="24"/>
          <w:szCs w:val="24"/>
        </w:rPr>
        <w:t xml:space="preserve">, </w:t>
      </w:r>
      <w:proofErr w:type="gramStart"/>
      <w:r w:rsidR="00A51DD6" w:rsidRPr="00C34C61">
        <w:rPr>
          <w:sz w:val="24"/>
          <w:szCs w:val="24"/>
        </w:rPr>
        <w:t xml:space="preserve">only </w:t>
      </w:r>
      <w:r w:rsidRPr="00C34C61">
        <w:rPr>
          <w:sz w:val="24"/>
          <w:szCs w:val="24"/>
        </w:rPr>
        <w:t xml:space="preserve"> </w:t>
      </w:r>
      <w:r w:rsidR="00CA29A4">
        <w:rPr>
          <w:rFonts w:ascii="Rupee Foradian" w:hAnsi="Rupee Foradian"/>
          <w:sz w:val="24"/>
          <w:szCs w:val="24"/>
        </w:rPr>
        <w:t>`</w:t>
      </w:r>
      <w:proofErr w:type="gramEnd"/>
      <w:r w:rsidRPr="00C34C61">
        <w:rPr>
          <w:sz w:val="24"/>
          <w:szCs w:val="24"/>
        </w:rPr>
        <w:t>1,775.84 crore was utilized by the State/ UTs leav</w:t>
      </w:r>
      <w:r w:rsidR="00A51DD6" w:rsidRPr="00C34C61">
        <w:rPr>
          <w:sz w:val="24"/>
          <w:szCs w:val="24"/>
        </w:rPr>
        <w:t xml:space="preserve">ing an unutilized balance of </w:t>
      </w:r>
      <w:r w:rsidRPr="00C34C61">
        <w:rPr>
          <w:sz w:val="24"/>
          <w:szCs w:val="24"/>
        </w:rPr>
        <w:t xml:space="preserve"> </w:t>
      </w:r>
      <w:r w:rsidR="00CA29A4">
        <w:rPr>
          <w:rFonts w:ascii="Rupee Foradian" w:hAnsi="Rupee Foradian"/>
          <w:sz w:val="24"/>
          <w:szCs w:val="24"/>
        </w:rPr>
        <w:t>`</w:t>
      </w:r>
      <w:r w:rsidRPr="00C34C61">
        <w:rPr>
          <w:sz w:val="24"/>
          <w:szCs w:val="24"/>
        </w:rPr>
        <w:t>1,149.81 crore.</w:t>
      </w:r>
    </w:p>
    <w:p w14:paraId="38D79CC0" w14:textId="59AD4B30" w:rsidR="00A11373" w:rsidRPr="00C34C61" w:rsidRDefault="00640C2B" w:rsidP="00BE3F52">
      <w:pPr>
        <w:spacing w:after="0" w:line="360" w:lineRule="auto"/>
        <w:jc w:val="both"/>
        <w:rPr>
          <w:sz w:val="24"/>
          <w:szCs w:val="24"/>
          <w:highlight w:val="green"/>
        </w:rPr>
      </w:pPr>
      <w:r w:rsidRPr="00C34C61">
        <w:rPr>
          <w:sz w:val="24"/>
          <w:szCs w:val="24"/>
        </w:rPr>
        <w:t>The institutional design for incurring expenditure from the funds under Ad hoc CAMPA and by State CAMPA is somewhat distinct from the expenditure being incu</w:t>
      </w:r>
      <w:r w:rsidR="00A51DD6" w:rsidRPr="00C34C61">
        <w:rPr>
          <w:sz w:val="24"/>
          <w:szCs w:val="24"/>
        </w:rPr>
        <w:t>rred by the both the Union Government and State Government.</w:t>
      </w:r>
      <w:r w:rsidRPr="00C34C61">
        <w:rPr>
          <w:sz w:val="24"/>
          <w:szCs w:val="24"/>
        </w:rPr>
        <w:t xml:space="preserve"> T</w:t>
      </w:r>
      <w:r w:rsidR="00A51DD6" w:rsidRPr="00C34C61">
        <w:rPr>
          <w:sz w:val="24"/>
          <w:szCs w:val="24"/>
        </w:rPr>
        <w:t>here was</w:t>
      </w:r>
      <w:r w:rsidRPr="00C34C61">
        <w:rPr>
          <w:sz w:val="24"/>
          <w:szCs w:val="24"/>
        </w:rPr>
        <w:t xml:space="preserve"> no legislative authorization for</w:t>
      </w:r>
      <w:r w:rsidR="00A11373" w:rsidRPr="00C34C61">
        <w:rPr>
          <w:sz w:val="24"/>
          <w:szCs w:val="24"/>
        </w:rPr>
        <w:t xml:space="preserve"> </w:t>
      </w:r>
      <w:r w:rsidR="00A51DD6" w:rsidRPr="00C34C61">
        <w:rPr>
          <w:sz w:val="24"/>
          <w:szCs w:val="24"/>
        </w:rPr>
        <w:t>incurring</w:t>
      </w:r>
      <w:r w:rsidR="00A11373" w:rsidRPr="00C34C61">
        <w:rPr>
          <w:sz w:val="24"/>
          <w:szCs w:val="24"/>
        </w:rPr>
        <w:t xml:space="preserve"> of such expenditure. Further, while receipts and expenditure have been significant, there exists no system devised by the Ministry to report incomes and outgoings regarding CA funds to either Parliament or the State Legislature.</w:t>
      </w:r>
    </w:p>
    <w:p w14:paraId="6B91E6F5" w14:textId="33F040E1" w:rsidR="003210E5" w:rsidRPr="00C34C61" w:rsidRDefault="00A11373" w:rsidP="00A51DD6">
      <w:pPr>
        <w:spacing w:line="360" w:lineRule="auto"/>
        <w:jc w:val="both"/>
        <w:rPr>
          <w:sz w:val="24"/>
          <w:szCs w:val="24"/>
        </w:rPr>
      </w:pPr>
      <w:r w:rsidRPr="00C34C61">
        <w:rPr>
          <w:sz w:val="24"/>
          <w:szCs w:val="24"/>
        </w:rPr>
        <w:lastRenderedPageBreak/>
        <w:t>As a remedial measure, t</w:t>
      </w:r>
      <w:r w:rsidR="00640C2B" w:rsidRPr="00C34C61">
        <w:rPr>
          <w:sz w:val="24"/>
          <w:szCs w:val="24"/>
        </w:rPr>
        <w:t>he existing systems are sought to be revised in terms of the Compensatory Afforestation Fund Act 2016</w:t>
      </w:r>
      <w:r w:rsidR="00A51DD6" w:rsidRPr="00C34C61">
        <w:rPr>
          <w:sz w:val="24"/>
          <w:szCs w:val="24"/>
        </w:rPr>
        <w:t>,</w:t>
      </w:r>
      <w:r w:rsidR="00640C2B" w:rsidRPr="00C34C61">
        <w:rPr>
          <w:sz w:val="24"/>
          <w:szCs w:val="24"/>
        </w:rPr>
        <w:t xml:space="preserve"> which has been notified on 3</w:t>
      </w:r>
      <w:r w:rsidR="00640C2B" w:rsidRPr="00C34C61">
        <w:rPr>
          <w:sz w:val="24"/>
          <w:szCs w:val="24"/>
          <w:vertAlign w:val="superscript"/>
        </w:rPr>
        <w:t>rd</w:t>
      </w:r>
      <w:r w:rsidR="00640C2B" w:rsidRPr="00C34C61">
        <w:rPr>
          <w:sz w:val="24"/>
          <w:szCs w:val="24"/>
        </w:rPr>
        <w:t xml:space="preserve"> August 2016.  The Rules for implementation of the </w:t>
      </w:r>
      <w:r w:rsidR="00B6674B" w:rsidRPr="00C34C61">
        <w:rPr>
          <w:sz w:val="24"/>
          <w:szCs w:val="24"/>
        </w:rPr>
        <w:t>provisions</w:t>
      </w:r>
      <w:r w:rsidR="00640C2B" w:rsidRPr="00C34C61">
        <w:rPr>
          <w:sz w:val="24"/>
          <w:szCs w:val="24"/>
        </w:rPr>
        <w:t xml:space="preserve"> of the Act are </w:t>
      </w:r>
      <w:r w:rsidR="00A51DD6" w:rsidRPr="00C34C61">
        <w:rPr>
          <w:sz w:val="24"/>
          <w:szCs w:val="24"/>
        </w:rPr>
        <w:t>under framing</w:t>
      </w:r>
      <w:r w:rsidR="00640C2B" w:rsidRPr="00C34C61">
        <w:rPr>
          <w:sz w:val="24"/>
          <w:szCs w:val="24"/>
        </w:rPr>
        <w:t>.</w:t>
      </w:r>
    </w:p>
    <w:p w14:paraId="57562D87" w14:textId="2336274B" w:rsidR="00DC05CC" w:rsidRPr="00C34C61" w:rsidRDefault="00C34C61" w:rsidP="00C34C61">
      <w:pPr>
        <w:pStyle w:val="ListParagraph"/>
        <w:numPr>
          <w:ilvl w:val="0"/>
          <w:numId w:val="11"/>
        </w:numPr>
        <w:shd w:val="clear" w:color="auto" w:fill="FFFFFF" w:themeFill="background1"/>
        <w:spacing w:line="360" w:lineRule="auto"/>
        <w:ind w:left="567" w:firstLine="0"/>
        <w:rPr>
          <w:b/>
          <w:bCs/>
          <w:sz w:val="24"/>
          <w:szCs w:val="24"/>
          <w:u w:val="single"/>
        </w:rPr>
      </w:pPr>
      <w:r>
        <w:rPr>
          <w:b/>
          <w:bCs/>
          <w:sz w:val="24"/>
          <w:szCs w:val="24"/>
          <w:u w:val="single"/>
        </w:rPr>
        <w:t xml:space="preserve"> </w:t>
      </w:r>
      <w:r w:rsidR="001600F2" w:rsidRPr="00C34C61">
        <w:rPr>
          <w:b/>
          <w:bCs/>
          <w:sz w:val="24"/>
          <w:szCs w:val="24"/>
          <w:u w:val="single"/>
        </w:rPr>
        <w:t>Renewable Energy Sector in India</w:t>
      </w:r>
    </w:p>
    <w:p w14:paraId="201D7CDF" w14:textId="77777777" w:rsidR="003210E5" w:rsidRPr="00C34C61" w:rsidRDefault="001600F2" w:rsidP="003210E5">
      <w:pPr>
        <w:spacing w:line="360" w:lineRule="auto"/>
        <w:jc w:val="both"/>
        <w:rPr>
          <w:sz w:val="24"/>
          <w:szCs w:val="24"/>
        </w:rPr>
      </w:pPr>
      <w:r w:rsidRPr="00C34C61">
        <w:rPr>
          <w:sz w:val="24"/>
          <w:szCs w:val="24"/>
        </w:rPr>
        <w:t>The Renewable Energy (RE) potential in India is 8</w:t>
      </w:r>
      <w:proofErr w:type="gramStart"/>
      <w:r w:rsidRPr="00C34C61">
        <w:rPr>
          <w:sz w:val="24"/>
          <w:szCs w:val="24"/>
        </w:rPr>
        <w:t>,89,508</w:t>
      </w:r>
      <w:proofErr w:type="gramEnd"/>
      <w:r w:rsidRPr="00C34C61">
        <w:rPr>
          <w:sz w:val="24"/>
          <w:szCs w:val="24"/>
        </w:rPr>
        <w:t xml:space="preserve"> Mega Watt. The Government of India, in pursuit of energy security and for minimizing impact on environment, has been prioritizing the development of RE sector through its policies and </w:t>
      </w:r>
      <w:proofErr w:type="spellStart"/>
      <w:r w:rsidRPr="00C34C61">
        <w:rPr>
          <w:sz w:val="24"/>
          <w:szCs w:val="24"/>
        </w:rPr>
        <w:t>programmes</w:t>
      </w:r>
      <w:proofErr w:type="spellEnd"/>
      <w:r w:rsidRPr="00C34C61">
        <w:rPr>
          <w:sz w:val="24"/>
          <w:szCs w:val="24"/>
        </w:rPr>
        <w:t xml:space="preserve">. </w:t>
      </w:r>
    </w:p>
    <w:p w14:paraId="264C2EE9" w14:textId="0633E3E6" w:rsidR="00CB6D0C" w:rsidRPr="00C34C61" w:rsidRDefault="00AC4C0B" w:rsidP="00AC4C0B">
      <w:pPr>
        <w:spacing w:line="360" w:lineRule="auto"/>
        <w:jc w:val="both"/>
        <w:rPr>
          <w:sz w:val="24"/>
          <w:szCs w:val="24"/>
        </w:rPr>
      </w:pPr>
      <w:r w:rsidRPr="00C34C61">
        <w:rPr>
          <w:sz w:val="24"/>
          <w:szCs w:val="24"/>
        </w:rPr>
        <w:t>P</w:t>
      </w:r>
      <w:r w:rsidR="001600F2" w:rsidRPr="00C34C61">
        <w:rPr>
          <w:sz w:val="24"/>
          <w:szCs w:val="24"/>
        </w:rPr>
        <w:t xml:space="preserve">erformance audit of the RE sector was conducted to primarily assess the extent to which contribution of RE to the energy mix in the country had increased and whether RE had succeeded in improving access to electricity in the remote and rural areas. </w:t>
      </w:r>
      <w:r w:rsidRPr="00C34C61">
        <w:rPr>
          <w:sz w:val="24"/>
          <w:szCs w:val="24"/>
        </w:rPr>
        <w:t xml:space="preserve">We found </w:t>
      </w:r>
      <w:r w:rsidR="001600F2" w:rsidRPr="00C34C61">
        <w:rPr>
          <w:sz w:val="24"/>
          <w:szCs w:val="24"/>
        </w:rPr>
        <w:t xml:space="preserve">that the exploitation of the two largest components i.e. solar energy and wind energy potential was only 0.35 and </w:t>
      </w:r>
      <w:r w:rsidR="00CA29A4">
        <w:rPr>
          <w:sz w:val="24"/>
          <w:szCs w:val="24"/>
        </w:rPr>
        <w:t xml:space="preserve">  </w:t>
      </w:r>
      <w:r w:rsidR="001600F2" w:rsidRPr="00C34C61">
        <w:rPr>
          <w:sz w:val="24"/>
          <w:szCs w:val="24"/>
        </w:rPr>
        <w:t xml:space="preserve">21 </w:t>
      </w:r>
      <w:r w:rsidR="001600F2" w:rsidRPr="00C34C61">
        <w:rPr>
          <w:i/>
          <w:iCs/>
          <w:sz w:val="24"/>
          <w:szCs w:val="24"/>
        </w:rPr>
        <w:t>per cent</w:t>
      </w:r>
      <w:r w:rsidR="001600F2" w:rsidRPr="00C34C61">
        <w:rPr>
          <w:sz w:val="24"/>
          <w:szCs w:val="24"/>
        </w:rPr>
        <w:t xml:space="preserve"> respectively</w:t>
      </w:r>
      <w:r w:rsidRPr="00C34C61">
        <w:rPr>
          <w:sz w:val="24"/>
          <w:szCs w:val="24"/>
        </w:rPr>
        <w:t>,</w:t>
      </w:r>
      <w:r w:rsidR="001600F2" w:rsidRPr="00C34C61">
        <w:rPr>
          <w:sz w:val="24"/>
          <w:szCs w:val="24"/>
        </w:rPr>
        <w:t xml:space="preserve"> </w:t>
      </w:r>
      <w:r w:rsidRPr="00C34C61">
        <w:rPr>
          <w:sz w:val="24"/>
          <w:szCs w:val="24"/>
        </w:rPr>
        <w:t>with significant variations</w:t>
      </w:r>
      <w:r w:rsidR="001600F2" w:rsidRPr="00C34C61">
        <w:rPr>
          <w:sz w:val="24"/>
          <w:szCs w:val="24"/>
        </w:rPr>
        <w:t xml:space="preserve"> across </w:t>
      </w:r>
      <w:r w:rsidRPr="00C34C61">
        <w:rPr>
          <w:sz w:val="24"/>
          <w:szCs w:val="24"/>
        </w:rPr>
        <w:t xml:space="preserve">the </w:t>
      </w:r>
      <w:r w:rsidR="001600F2" w:rsidRPr="00C34C61">
        <w:rPr>
          <w:sz w:val="24"/>
          <w:szCs w:val="24"/>
        </w:rPr>
        <w:t xml:space="preserve">States. </w:t>
      </w:r>
      <w:r w:rsidRPr="00C34C61">
        <w:rPr>
          <w:sz w:val="24"/>
          <w:szCs w:val="24"/>
        </w:rPr>
        <w:t>W</w:t>
      </w:r>
      <w:r w:rsidR="001600F2" w:rsidRPr="00C34C61">
        <w:rPr>
          <w:sz w:val="24"/>
          <w:szCs w:val="24"/>
        </w:rPr>
        <w:t>hile the overarching policy and incentives offered by the Government of India to promote RE remained uniform for the country, the varied development of the sector in States was a result of State specific factors such as the State’s RE development policy, the State tariff regime and the conduciveness of the State’s implementation environment. Inadequate evacuation and transmission infrastructure was a bottleneck. Problems in maintaining grid stability caused by infirm and variable nature of wind energy remained unaddressed. Renewable Purchase Obligation mechanism designed as a policy instrument to demonstrate commitment and create a demand incentive for the devel</w:t>
      </w:r>
      <w:r w:rsidRPr="00C34C61">
        <w:rPr>
          <w:sz w:val="24"/>
          <w:szCs w:val="24"/>
        </w:rPr>
        <w:t>opment of RE resources in India</w:t>
      </w:r>
      <w:r w:rsidR="001600F2" w:rsidRPr="00C34C61">
        <w:rPr>
          <w:sz w:val="24"/>
          <w:szCs w:val="24"/>
        </w:rPr>
        <w:t xml:space="preserve"> </w:t>
      </w:r>
      <w:r w:rsidRPr="00C34C61">
        <w:rPr>
          <w:sz w:val="24"/>
          <w:szCs w:val="24"/>
        </w:rPr>
        <w:t xml:space="preserve">was not </w:t>
      </w:r>
      <w:r w:rsidR="001600F2" w:rsidRPr="00C34C61">
        <w:rPr>
          <w:sz w:val="24"/>
          <w:szCs w:val="24"/>
        </w:rPr>
        <w:t xml:space="preserve">effectively enforced. </w:t>
      </w:r>
    </w:p>
    <w:p w14:paraId="3DDDBFB4" w14:textId="66B46208" w:rsidR="006C5E6B" w:rsidRPr="00C34C61" w:rsidRDefault="006C5E6B" w:rsidP="006C5E6B">
      <w:pPr>
        <w:spacing w:line="360" w:lineRule="auto"/>
        <w:jc w:val="both"/>
        <w:rPr>
          <w:sz w:val="24"/>
          <w:szCs w:val="24"/>
        </w:rPr>
      </w:pPr>
      <w:r w:rsidRPr="00C34C61">
        <w:rPr>
          <w:sz w:val="24"/>
          <w:szCs w:val="24"/>
        </w:rPr>
        <w:t xml:space="preserve">Audit recommended </w:t>
      </w:r>
      <w:r w:rsidR="00511082" w:rsidRPr="00C34C61">
        <w:rPr>
          <w:sz w:val="24"/>
          <w:szCs w:val="24"/>
        </w:rPr>
        <w:t xml:space="preserve">that a </w:t>
      </w:r>
      <w:r w:rsidRPr="00C34C61">
        <w:rPr>
          <w:sz w:val="24"/>
          <w:szCs w:val="24"/>
        </w:rPr>
        <w:t>transmission infrastructure, which was crit</w:t>
      </w:r>
      <w:r w:rsidR="00A51DD6" w:rsidRPr="00C34C61">
        <w:rPr>
          <w:sz w:val="24"/>
          <w:szCs w:val="24"/>
        </w:rPr>
        <w:t xml:space="preserve">ical to meet the needs of large-scale RE deployment. </w:t>
      </w:r>
      <w:proofErr w:type="spellStart"/>
      <w:r w:rsidR="00A51DD6" w:rsidRPr="00C34C61">
        <w:rPr>
          <w:sz w:val="24"/>
          <w:szCs w:val="24"/>
        </w:rPr>
        <w:t>GoI</w:t>
      </w:r>
      <w:proofErr w:type="spellEnd"/>
      <w:r w:rsidR="00A51DD6" w:rsidRPr="00C34C61">
        <w:rPr>
          <w:sz w:val="24"/>
          <w:szCs w:val="24"/>
        </w:rPr>
        <w:t xml:space="preserve"> is implementing </w:t>
      </w:r>
      <w:r w:rsidRPr="00C34C61">
        <w:rPr>
          <w:sz w:val="24"/>
          <w:szCs w:val="24"/>
        </w:rPr>
        <w:t>a Green Energy Corridor project in</w:t>
      </w:r>
      <w:r w:rsidR="00A51DD6" w:rsidRPr="00C34C61">
        <w:rPr>
          <w:sz w:val="24"/>
          <w:szCs w:val="24"/>
        </w:rPr>
        <w:t xml:space="preserve"> renewable resource rich states for completion</w:t>
      </w:r>
      <w:r w:rsidRPr="00C34C61">
        <w:rPr>
          <w:sz w:val="24"/>
          <w:szCs w:val="24"/>
        </w:rPr>
        <w:t xml:space="preserve"> by the year 2019-20.</w:t>
      </w:r>
    </w:p>
    <w:p w14:paraId="53B06773" w14:textId="6F8E1C65" w:rsidR="00DC05CC" w:rsidRPr="00C34C61" w:rsidRDefault="00C34C61" w:rsidP="00C34C61">
      <w:pPr>
        <w:pStyle w:val="ListParagraph"/>
        <w:numPr>
          <w:ilvl w:val="0"/>
          <w:numId w:val="11"/>
        </w:numPr>
        <w:shd w:val="clear" w:color="auto" w:fill="FFFFFF" w:themeFill="background1"/>
        <w:spacing w:line="360" w:lineRule="auto"/>
        <w:ind w:left="567" w:firstLine="0"/>
        <w:rPr>
          <w:b/>
          <w:bCs/>
          <w:sz w:val="24"/>
          <w:szCs w:val="24"/>
          <w:u w:val="single"/>
        </w:rPr>
      </w:pPr>
      <w:r>
        <w:rPr>
          <w:b/>
          <w:bCs/>
          <w:sz w:val="24"/>
          <w:szCs w:val="24"/>
          <w:u w:val="single"/>
        </w:rPr>
        <w:t xml:space="preserve"> </w:t>
      </w:r>
      <w:r w:rsidR="00397C93" w:rsidRPr="00C34C61">
        <w:rPr>
          <w:b/>
          <w:bCs/>
          <w:sz w:val="24"/>
          <w:szCs w:val="24"/>
          <w:u w:val="single"/>
        </w:rPr>
        <w:t>Environmental Clearance and Post Clearance Monitoring</w:t>
      </w:r>
    </w:p>
    <w:p w14:paraId="317D9992" w14:textId="0F9D6EE1" w:rsidR="00D16069" w:rsidRPr="00C34C61" w:rsidRDefault="00397C93" w:rsidP="00AC4C0B">
      <w:pPr>
        <w:spacing w:line="360" w:lineRule="auto"/>
        <w:jc w:val="both"/>
        <w:rPr>
          <w:sz w:val="24"/>
          <w:szCs w:val="24"/>
        </w:rPr>
      </w:pPr>
      <w:r w:rsidRPr="00C34C61">
        <w:rPr>
          <w:sz w:val="24"/>
          <w:szCs w:val="24"/>
        </w:rPr>
        <w:t>Ministry of Environment, Forest and Climate Change (</w:t>
      </w:r>
      <w:proofErr w:type="spellStart"/>
      <w:r w:rsidRPr="00C34C61">
        <w:rPr>
          <w:sz w:val="24"/>
          <w:szCs w:val="24"/>
        </w:rPr>
        <w:t>MoEF&amp;CC</w:t>
      </w:r>
      <w:proofErr w:type="spellEnd"/>
      <w:r w:rsidRPr="00C34C61">
        <w:rPr>
          <w:sz w:val="24"/>
          <w:szCs w:val="24"/>
        </w:rPr>
        <w:t xml:space="preserve">) is the nodal </w:t>
      </w:r>
      <w:r w:rsidR="00AC4C0B" w:rsidRPr="00C34C61">
        <w:rPr>
          <w:sz w:val="24"/>
          <w:szCs w:val="24"/>
        </w:rPr>
        <w:t xml:space="preserve">Ministry </w:t>
      </w:r>
      <w:r w:rsidRPr="00C34C61">
        <w:rPr>
          <w:sz w:val="24"/>
          <w:szCs w:val="24"/>
        </w:rPr>
        <w:t xml:space="preserve">for planning, promotion, co-ordination and overseeing of the implementation of India's environmental and forestry policies and </w:t>
      </w:r>
      <w:proofErr w:type="spellStart"/>
      <w:r w:rsidRPr="00C34C61">
        <w:rPr>
          <w:sz w:val="24"/>
          <w:szCs w:val="24"/>
        </w:rPr>
        <w:t>programmes</w:t>
      </w:r>
      <w:proofErr w:type="spellEnd"/>
      <w:r w:rsidRPr="00C34C61">
        <w:rPr>
          <w:sz w:val="24"/>
          <w:szCs w:val="24"/>
        </w:rPr>
        <w:t xml:space="preserve">. In recognition of the need for ensuring protection of the environment, </w:t>
      </w:r>
      <w:proofErr w:type="spellStart"/>
      <w:r w:rsidRPr="00C34C61">
        <w:rPr>
          <w:sz w:val="24"/>
          <w:szCs w:val="24"/>
        </w:rPr>
        <w:t>MoEF&amp;CC</w:t>
      </w:r>
      <w:proofErr w:type="spellEnd"/>
      <w:r w:rsidRPr="00C34C61">
        <w:rPr>
          <w:sz w:val="24"/>
          <w:szCs w:val="24"/>
        </w:rPr>
        <w:t xml:space="preserve"> has taken various regulatory and promotional </w:t>
      </w:r>
      <w:r w:rsidRPr="00C34C61">
        <w:rPr>
          <w:sz w:val="24"/>
          <w:szCs w:val="24"/>
        </w:rPr>
        <w:lastRenderedPageBreak/>
        <w:t>measures</w:t>
      </w:r>
      <w:r w:rsidR="00AC4C0B" w:rsidRPr="00C34C61">
        <w:rPr>
          <w:sz w:val="24"/>
          <w:szCs w:val="24"/>
        </w:rPr>
        <w:t>,</w:t>
      </w:r>
      <w:r w:rsidRPr="00C34C61">
        <w:rPr>
          <w:sz w:val="24"/>
          <w:szCs w:val="24"/>
        </w:rPr>
        <w:t xml:space="preserve"> which include</w:t>
      </w:r>
      <w:r w:rsidR="00AC4C0B" w:rsidRPr="00C34C61">
        <w:rPr>
          <w:sz w:val="24"/>
          <w:szCs w:val="24"/>
        </w:rPr>
        <w:t>s</w:t>
      </w:r>
      <w:r w:rsidRPr="00C34C61">
        <w:rPr>
          <w:sz w:val="24"/>
          <w:szCs w:val="24"/>
        </w:rPr>
        <w:t xml:space="preserve"> e</w:t>
      </w:r>
      <w:r w:rsidR="00AC4C0B" w:rsidRPr="00C34C61">
        <w:rPr>
          <w:sz w:val="24"/>
          <w:szCs w:val="24"/>
        </w:rPr>
        <w:t>stablishment of procedures for Environmental Impact Assessment (EIA) and granting Environmental C</w:t>
      </w:r>
      <w:r w:rsidRPr="00C34C61">
        <w:rPr>
          <w:sz w:val="24"/>
          <w:szCs w:val="24"/>
        </w:rPr>
        <w:t>learance</w:t>
      </w:r>
      <w:r w:rsidR="00AC4C0B" w:rsidRPr="00C34C61">
        <w:rPr>
          <w:sz w:val="24"/>
          <w:szCs w:val="24"/>
        </w:rPr>
        <w:t xml:space="preserve"> (EC)</w:t>
      </w:r>
      <w:r w:rsidRPr="00C34C61">
        <w:rPr>
          <w:sz w:val="24"/>
          <w:szCs w:val="24"/>
        </w:rPr>
        <w:t xml:space="preserve"> for various types of projects. </w:t>
      </w:r>
      <w:r w:rsidR="00CC0FF3" w:rsidRPr="00C34C61">
        <w:rPr>
          <w:sz w:val="24"/>
          <w:szCs w:val="24"/>
        </w:rPr>
        <w:t xml:space="preserve">During </w:t>
      </w:r>
      <w:r w:rsidR="00AC4C0B" w:rsidRPr="00C34C61">
        <w:rPr>
          <w:sz w:val="24"/>
          <w:szCs w:val="24"/>
        </w:rPr>
        <w:t>EIA</w:t>
      </w:r>
      <w:r w:rsidR="00CC0FF3" w:rsidRPr="00C34C61">
        <w:rPr>
          <w:sz w:val="24"/>
          <w:szCs w:val="24"/>
        </w:rPr>
        <w:t>, the Ministry</w:t>
      </w:r>
      <w:r w:rsidR="00AC4C0B" w:rsidRPr="00C34C61">
        <w:rPr>
          <w:sz w:val="24"/>
          <w:szCs w:val="24"/>
        </w:rPr>
        <w:t xml:space="preserve"> </w:t>
      </w:r>
      <w:r w:rsidRPr="00C34C61">
        <w:rPr>
          <w:sz w:val="24"/>
          <w:szCs w:val="24"/>
        </w:rPr>
        <w:t xml:space="preserve">systematically examines </w:t>
      </w:r>
      <w:r w:rsidR="00D16069" w:rsidRPr="00C34C61">
        <w:rPr>
          <w:sz w:val="24"/>
          <w:szCs w:val="24"/>
        </w:rPr>
        <w:t xml:space="preserve">the </w:t>
      </w:r>
      <w:r w:rsidRPr="00C34C61">
        <w:rPr>
          <w:sz w:val="24"/>
          <w:szCs w:val="24"/>
        </w:rPr>
        <w:t xml:space="preserve">beneficial and adverse </w:t>
      </w:r>
      <w:r w:rsidR="00D16069" w:rsidRPr="00C34C61">
        <w:rPr>
          <w:sz w:val="24"/>
          <w:szCs w:val="24"/>
        </w:rPr>
        <w:t xml:space="preserve">effects </w:t>
      </w:r>
      <w:r w:rsidRPr="00C34C61">
        <w:rPr>
          <w:sz w:val="24"/>
          <w:szCs w:val="24"/>
        </w:rPr>
        <w:t>of proposed p</w:t>
      </w:r>
      <w:r w:rsidR="00D16069" w:rsidRPr="00C34C61">
        <w:rPr>
          <w:sz w:val="24"/>
          <w:szCs w:val="24"/>
        </w:rPr>
        <w:t xml:space="preserve">rojects </w:t>
      </w:r>
      <w:r w:rsidR="00CC0FF3" w:rsidRPr="00C34C61">
        <w:rPr>
          <w:sz w:val="24"/>
          <w:szCs w:val="24"/>
        </w:rPr>
        <w:t xml:space="preserve">for </w:t>
      </w:r>
      <w:r w:rsidR="00D16069" w:rsidRPr="00C34C61">
        <w:rPr>
          <w:sz w:val="24"/>
          <w:szCs w:val="24"/>
        </w:rPr>
        <w:t>c</w:t>
      </w:r>
      <w:r w:rsidR="00CC0FF3" w:rsidRPr="00C34C61">
        <w:rPr>
          <w:sz w:val="24"/>
          <w:szCs w:val="24"/>
        </w:rPr>
        <w:t>onsidering these</w:t>
      </w:r>
      <w:r w:rsidR="00D16069" w:rsidRPr="00C34C61">
        <w:rPr>
          <w:sz w:val="24"/>
          <w:szCs w:val="24"/>
        </w:rPr>
        <w:t xml:space="preserve"> while designing </w:t>
      </w:r>
      <w:r w:rsidR="00AC4C0B" w:rsidRPr="00C34C61">
        <w:rPr>
          <w:sz w:val="24"/>
          <w:szCs w:val="24"/>
        </w:rPr>
        <w:t xml:space="preserve">the </w:t>
      </w:r>
      <w:r w:rsidRPr="00C34C61">
        <w:rPr>
          <w:sz w:val="24"/>
          <w:szCs w:val="24"/>
        </w:rPr>
        <w:t xml:space="preserve">project. </w:t>
      </w:r>
    </w:p>
    <w:p w14:paraId="25B363FD" w14:textId="270C0534" w:rsidR="006260D8" w:rsidRPr="00C34C61" w:rsidRDefault="006260D8" w:rsidP="00AC4C0B">
      <w:pPr>
        <w:spacing w:line="360" w:lineRule="auto"/>
        <w:jc w:val="both"/>
        <w:rPr>
          <w:sz w:val="24"/>
          <w:szCs w:val="24"/>
        </w:rPr>
      </w:pPr>
      <w:r w:rsidRPr="00C34C61">
        <w:rPr>
          <w:sz w:val="24"/>
          <w:szCs w:val="24"/>
        </w:rPr>
        <w:t xml:space="preserve">EIA </w:t>
      </w:r>
      <w:r w:rsidR="00BE3F52" w:rsidRPr="00C34C61">
        <w:rPr>
          <w:sz w:val="24"/>
          <w:szCs w:val="24"/>
        </w:rPr>
        <w:t xml:space="preserve">is very important for </w:t>
      </w:r>
      <w:r w:rsidRPr="00C34C61">
        <w:rPr>
          <w:sz w:val="24"/>
          <w:szCs w:val="24"/>
        </w:rPr>
        <w:t xml:space="preserve">harmonizing developmental efforts with conservation of environment and ecology. The Convention on Biological Diversity (CBD) recognizes impact assessment as </w:t>
      </w:r>
      <w:r w:rsidR="00BE3F52" w:rsidRPr="00C34C61">
        <w:rPr>
          <w:sz w:val="24"/>
          <w:szCs w:val="24"/>
        </w:rPr>
        <w:t xml:space="preserve">an important tool for ensuring </w:t>
      </w:r>
      <w:r w:rsidRPr="00C34C61">
        <w:rPr>
          <w:sz w:val="24"/>
          <w:szCs w:val="24"/>
        </w:rPr>
        <w:t>development with biodiversity in mind. Over the years, there were a number of issues regarding delay in grant of ECs, quality of the EIA reports, assessment of impact of the projects on environment, effectiveness of public consultation, monitoring of the compliance of the environment clearance conditions. There have also been a number of Court Judgments, Parliamentary questions and amendments to the EIA notification with regard to the EC process and post clearance monitoring.</w:t>
      </w:r>
    </w:p>
    <w:p w14:paraId="3A793401" w14:textId="0FBA9898" w:rsidR="00D16069" w:rsidRPr="00C34C61" w:rsidRDefault="00CC0FF3" w:rsidP="00AC4C0B">
      <w:pPr>
        <w:spacing w:line="360" w:lineRule="auto"/>
        <w:jc w:val="both"/>
        <w:rPr>
          <w:sz w:val="24"/>
          <w:szCs w:val="24"/>
        </w:rPr>
      </w:pPr>
      <w:r w:rsidRPr="00C34C61">
        <w:rPr>
          <w:sz w:val="24"/>
          <w:szCs w:val="24"/>
        </w:rPr>
        <w:t xml:space="preserve">In </w:t>
      </w:r>
      <w:r w:rsidR="00D16069" w:rsidRPr="00C34C61">
        <w:rPr>
          <w:sz w:val="24"/>
          <w:szCs w:val="24"/>
        </w:rPr>
        <w:t>performance a</w:t>
      </w:r>
      <w:r w:rsidR="00397C93" w:rsidRPr="00C34C61">
        <w:rPr>
          <w:sz w:val="24"/>
          <w:szCs w:val="24"/>
        </w:rPr>
        <w:t>udit</w:t>
      </w:r>
      <w:r w:rsidRPr="00C34C61">
        <w:rPr>
          <w:sz w:val="24"/>
          <w:szCs w:val="24"/>
        </w:rPr>
        <w:t>,</w:t>
      </w:r>
      <w:r w:rsidR="00397C93" w:rsidRPr="00C34C61">
        <w:rPr>
          <w:sz w:val="24"/>
          <w:szCs w:val="24"/>
        </w:rPr>
        <w:t xml:space="preserve"> </w:t>
      </w:r>
      <w:r w:rsidR="00D16069" w:rsidRPr="00C34C61">
        <w:rPr>
          <w:sz w:val="24"/>
          <w:szCs w:val="24"/>
        </w:rPr>
        <w:t xml:space="preserve">we </w:t>
      </w:r>
      <w:r w:rsidR="00397C93" w:rsidRPr="00C34C61">
        <w:rPr>
          <w:sz w:val="24"/>
          <w:szCs w:val="24"/>
        </w:rPr>
        <w:t xml:space="preserve">examined the </w:t>
      </w:r>
      <w:r w:rsidR="00D16069" w:rsidRPr="00C34C61">
        <w:rPr>
          <w:sz w:val="24"/>
          <w:szCs w:val="24"/>
        </w:rPr>
        <w:t xml:space="preserve">issue of timeliness and transparency </w:t>
      </w:r>
      <w:r w:rsidRPr="00C34C61">
        <w:rPr>
          <w:sz w:val="24"/>
          <w:szCs w:val="24"/>
        </w:rPr>
        <w:t>in</w:t>
      </w:r>
      <w:r w:rsidR="00397C93" w:rsidRPr="00C34C61">
        <w:rPr>
          <w:sz w:val="24"/>
          <w:szCs w:val="24"/>
        </w:rPr>
        <w:t xml:space="preserve"> grant of EC during the c</w:t>
      </w:r>
      <w:r w:rsidR="00D16069" w:rsidRPr="00C34C61">
        <w:rPr>
          <w:sz w:val="24"/>
          <w:szCs w:val="24"/>
        </w:rPr>
        <w:t xml:space="preserve">alendar years 2011 to 2015. We also ascertained the effectiveness of </w:t>
      </w:r>
      <w:r w:rsidR="00397C93" w:rsidRPr="00C34C61">
        <w:rPr>
          <w:sz w:val="24"/>
          <w:szCs w:val="24"/>
        </w:rPr>
        <w:t xml:space="preserve">monitoring of compliance with the </w:t>
      </w:r>
      <w:r w:rsidR="00D16069" w:rsidRPr="00C34C61">
        <w:rPr>
          <w:sz w:val="24"/>
          <w:szCs w:val="24"/>
        </w:rPr>
        <w:t xml:space="preserve">EC </w:t>
      </w:r>
      <w:r w:rsidR="00397C93" w:rsidRPr="00C34C61">
        <w:rPr>
          <w:sz w:val="24"/>
          <w:szCs w:val="24"/>
        </w:rPr>
        <w:t xml:space="preserve">conditions by the concerned agencies for the clearances granted during the calendar years 2008 to 2012. </w:t>
      </w:r>
    </w:p>
    <w:p w14:paraId="034B3641" w14:textId="033CE834" w:rsidR="00B6674B" w:rsidRPr="00C34C61" w:rsidRDefault="00D16069" w:rsidP="00B6674B">
      <w:pPr>
        <w:spacing w:line="360" w:lineRule="auto"/>
        <w:jc w:val="both"/>
        <w:rPr>
          <w:sz w:val="24"/>
          <w:szCs w:val="24"/>
        </w:rPr>
      </w:pPr>
      <w:r w:rsidRPr="00C34C61">
        <w:rPr>
          <w:sz w:val="24"/>
          <w:szCs w:val="24"/>
        </w:rPr>
        <w:t xml:space="preserve">We found </w:t>
      </w:r>
      <w:r w:rsidR="00397C93" w:rsidRPr="00C34C61">
        <w:rPr>
          <w:sz w:val="24"/>
          <w:szCs w:val="24"/>
        </w:rPr>
        <w:t xml:space="preserve">that </w:t>
      </w:r>
      <w:r w:rsidRPr="00C34C61">
        <w:rPr>
          <w:sz w:val="24"/>
          <w:szCs w:val="24"/>
        </w:rPr>
        <w:t>EIA process suffered</w:t>
      </w:r>
      <w:r w:rsidR="00397C93" w:rsidRPr="00C34C61">
        <w:rPr>
          <w:sz w:val="24"/>
          <w:szCs w:val="24"/>
        </w:rPr>
        <w:t xml:space="preserve"> from various procedural deficiencies le</w:t>
      </w:r>
      <w:r w:rsidRPr="00C34C61">
        <w:rPr>
          <w:sz w:val="24"/>
          <w:szCs w:val="24"/>
        </w:rPr>
        <w:t>a</w:t>
      </w:r>
      <w:r w:rsidR="00397C93" w:rsidRPr="00C34C61">
        <w:rPr>
          <w:sz w:val="24"/>
          <w:szCs w:val="24"/>
        </w:rPr>
        <w:t>d</w:t>
      </w:r>
      <w:r w:rsidRPr="00C34C61">
        <w:rPr>
          <w:sz w:val="24"/>
          <w:szCs w:val="24"/>
        </w:rPr>
        <w:t>ing</w:t>
      </w:r>
      <w:r w:rsidR="00397C93" w:rsidRPr="00C34C61">
        <w:rPr>
          <w:sz w:val="24"/>
          <w:szCs w:val="24"/>
        </w:rPr>
        <w:t xml:space="preserve"> to delays in grant of</w:t>
      </w:r>
      <w:r w:rsidRPr="00C34C61">
        <w:rPr>
          <w:sz w:val="24"/>
          <w:szCs w:val="24"/>
        </w:rPr>
        <w:t xml:space="preserve"> ECs. </w:t>
      </w:r>
      <w:r w:rsidR="00CC0FF3" w:rsidRPr="00C34C61">
        <w:rPr>
          <w:sz w:val="24"/>
          <w:szCs w:val="24"/>
        </w:rPr>
        <w:t>There were independent evaluations of p</w:t>
      </w:r>
      <w:r w:rsidRPr="00C34C61">
        <w:rPr>
          <w:sz w:val="24"/>
          <w:szCs w:val="24"/>
        </w:rPr>
        <w:t>rojects</w:t>
      </w:r>
      <w:r w:rsidR="00CC0FF3" w:rsidRPr="00C34C61">
        <w:rPr>
          <w:sz w:val="24"/>
          <w:szCs w:val="24"/>
        </w:rPr>
        <w:t>,</w:t>
      </w:r>
      <w:r w:rsidRPr="00C34C61">
        <w:rPr>
          <w:sz w:val="24"/>
          <w:szCs w:val="24"/>
        </w:rPr>
        <w:t xml:space="preserve"> without cumulative assessment of various projects</w:t>
      </w:r>
      <w:r w:rsidR="00397C93" w:rsidRPr="00C34C61">
        <w:rPr>
          <w:sz w:val="24"/>
          <w:szCs w:val="24"/>
        </w:rPr>
        <w:t xml:space="preserve">. There were lack of compliance of </w:t>
      </w:r>
      <w:r w:rsidR="00CC0FF3" w:rsidRPr="00C34C61">
        <w:rPr>
          <w:sz w:val="24"/>
          <w:szCs w:val="24"/>
        </w:rPr>
        <w:t xml:space="preserve">EC </w:t>
      </w:r>
      <w:r w:rsidR="00397C93" w:rsidRPr="00C34C61">
        <w:rPr>
          <w:sz w:val="24"/>
          <w:szCs w:val="24"/>
        </w:rPr>
        <w:t xml:space="preserve">conditions by </w:t>
      </w:r>
      <w:r w:rsidR="00CC0FF3" w:rsidRPr="00C34C61">
        <w:rPr>
          <w:sz w:val="24"/>
          <w:szCs w:val="24"/>
        </w:rPr>
        <w:t xml:space="preserve">the </w:t>
      </w:r>
      <w:r w:rsidR="00397C93" w:rsidRPr="00C34C61">
        <w:rPr>
          <w:sz w:val="24"/>
          <w:szCs w:val="24"/>
        </w:rPr>
        <w:t>Project Proponents</w:t>
      </w:r>
      <w:r w:rsidR="00CC0FF3" w:rsidRPr="00C34C61">
        <w:rPr>
          <w:sz w:val="24"/>
          <w:szCs w:val="24"/>
        </w:rPr>
        <w:t xml:space="preserve"> (PPs)</w:t>
      </w:r>
      <w:r w:rsidR="00397C93" w:rsidRPr="00C34C61">
        <w:rPr>
          <w:sz w:val="24"/>
          <w:szCs w:val="24"/>
        </w:rPr>
        <w:t xml:space="preserve">. We also noticed weaknesses in monitoring by State Pollution Control Boards/Union Territory Pollution Control Committees and Regional Offices of </w:t>
      </w:r>
      <w:proofErr w:type="spellStart"/>
      <w:r w:rsidR="00397C93" w:rsidRPr="00C34C61">
        <w:rPr>
          <w:sz w:val="24"/>
          <w:szCs w:val="24"/>
        </w:rPr>
        <w:t>MoEF&amp;CC</w:t>
      </w:r>
      <w:proofErr w:type="spellEnd"/>
      <w:r w:rsidR="00397C93" w:rsidRPr="00C34C61">
        <w:rPr>
          <w:sz w:val="24"/>
          <w:szCs w:val="24"/>
        </w:rPr>
        <w:t xml:space="preserve"> in compliance of </w:t>
      </w:r>
      <w:r w:rsidR="00CC0FF3" w:rsidRPr="00C34C61">
        <w:rPr>
          <w:sz w:val="24"/>
          <w:szCs w:val="24"/>
        </w:rPr>
        <w:t xml:space="preserve">EC </w:t>
      </w:r>
      <w:r w:rsidR="00397C93" w:rsidRPr="00C34C61">
        <w:rPr>
          <w:sz w:val="24"/>
          <w:szCs w:val="24"/>
        </w:rPr>
        <w:t xml:space="preserve">conditions. There was lack of monitoring in the Critically Polluted Areas. A National Regulator for looking at the entire process of grant of </w:t>
      </w:r>
      <w:r w:rsidR="00CC0FF3" w:rsidRPr="00C34C61">
        <w:rPr>
          <w:sz w:val="24"/>
          <w:szCs w:val="24"/>
        </w:rPr>
        <w:t xml:space="preserve">EC </w:t>
      </w:r>
      <w:r w:rsidR="00397C93" w:rsidRPr="00C34C61">
        <w:rPr>
          <w:sz w:val="24"/>
          <w:szCs w:val="24"/>
        </w:rPr>
        <w:t xml:space="preserve">and its monitoring is under consideration by </w:t>
      </w:r>
      <w:proofErr w:type="spellStart"/>
      <w:r w:rsidR="00397C93" w:rsidRPr="00C34C61">
        <w:rPr>
          <w:sz w:val="24"/>
          <w:szCs w:val="24"/>
        </w:rPr>
        <w:t>MoEF&amp;CC</w:t>
      </w:r>
      <w:proofErr w:type="spellEnd"/>
      <w:r w:rsidR="00397C93" w:rsidRPr="00C34C61">
        <w:rPr>
          <w:sz w:val="24"/>
          <w:szCs w:val="24"/>
        </w:rPr>
        <w:t xml:space="preserve">. </w:t>
      </w:r>
      <w:r w:rsidR="00CA29A4">
        <w:rPr>
          <w:sz w:val="24"/>
          <w:szCs w:val="24"/>
        </w:rPr>
        <w:t xml:space="preserve">The action taken notes </w:t>
      </w:r>
      <w:r w:rsidR="00B6674B" w:rsidRPr="00C34C61">
        <w:rPr>
          <w:sz w:val="24"/>
          <w:szCs w:val="24"/>
        </w:rPr>
        <w:t>awaited from the executive.</w:t>
      </w:r>
    </w:p>
    <w:p w14:paraId="0E9A8236" w14:textId="65D46927" w:rsidR="00CB6D0C" w:rsidRPr="00C34C61" w:rsidRDefault="00C34C61" w:rsidP="00C34C61">
      <w:pPr>
        <w:pStyle w:val="ListParagraph"/>
        <w:numPr>
          <w:ilvl w:val="0"/>
          <w:numId w:val="11"/>
        </w:numPr>
        <w:spacing w:line="360" w:lineRule="auto"/>
        <w:ind w:left="567" w:firstLine="0"/>
        <w:jc w:val="both"/>
        <w:rPr>
          <w:b/>
          <w:bCs/>
          <w:sz w:val="24"/>
          <w:szCs w:val="24"/>
          <w:u w:val="single"/>
        </w:rPr>
      </w:pPr>
      <w:r>
        <w:rPr>
          <w:b/>
          <w:bCs/>
          <w:sz w:val="24"/>
          <w:szCs w:val="24"/>
          <w:u w:val="single"/>
        </w:rPr>
        <w:t xml:space="preserve"> </w:t>
      </w:r>
      <w:r w:rsidR="00397C93" w:rsidRPr="00C34C61">
        <w:rPr>
          <w:b/>
          <w:bCs/>
          <w:sz w:val="24"/>
          <w:szCs w:val="24"/>
          <w:u w:val="single"/>
        </w:rPr>
        <w:t>Schemes for Flood Control and Flood Forecasting</w:t>
      </w:r>
    </w:p>
    <w:p w14:paraId="57C45D82" w14:textId="77777777" w:rsidR="006F08DA" w:rsidRPr="00C34C61" w:rsidRDefault="00397C93" w:rsidP="00B6674B">
      <w:pPr>
        <w:spacing w:line="360" w:lineRule="auto"/>
        <w:jc w:val="both"/>
        <w:rPr>
          <w:sz w:val="24"/>
          <w:szCs w:val="24"/>
        </w:rPr>
      </w:pPr>
      <w:r w:rsidRPr="00C34C61">
        <w:rPr>
          <w:sz w:val="24"/>
          <w:szCs w:val="24"/>
        </w:rPr>
        <w:t xml:space="preserve">India is highly vulnerable to floods. Out of the total geographical area of 329 million hectares, about 45.64 million hectares is flood prone. Floods are a recurrent phenomenon, which cause huge loss of lives and damage to livelihood systems, property, infrastructure and public utilities. As per the report of the Working Group on Flood Control Management </w:t>
      </w:r>
      <w:proofErr w:type="spellStart"/>
      <w:r w:rsidRPr="00C34C61">
        <w:rPr>
          <w:sz w:val="24"/>
          <w:szCs w:val="24"/>
        </w:rPr>
        <w:t>Programme</w:t>
      </w:r>
      <w:proofErr w:type="spellEnd"/>
      <w:r w:rsidRPr="00C34C61">
        <w:rPr>
          <w:sz w:val="24"/>
          <w:szCs w:val="24"/>
        </w:rPr>
        <w:t xml:space="preserve"> (December 2006) for the XI Five Year Plan (2007-2012), on an average, every year, 7.55 million </w:t>
      </w:r>
      <w:r w:rsidRPr="00C34C61">
        <w:rPr>
          <w:sz w:val="24"/>
          <w:szCs w:val="24"/>
        </w:rPr>
        <w:lastRenderedPageBreak/>
        <w:t xml:space="preserve">hectares of land is affected, 1,560 lives are lost and the damage caused to crops, houses and public utilities </w:t>
      </w:r>
      <w:r w:rsidR="00CB6D0C" w:rsidRPr="00C34C61">
        <w:rPr>
          <w:sz w:val="24"/>
          <w:szCs w:val="24"/>
        </w:rPr>
        <w:t>due to floods is estimated at Rs.</w:t>
      </w:r>
      <w:r w:rsidRPr="00C34C61">
        <w:rPr>
          <w:sz w:val="24"/>
          <w:szCs w:val="24"/>
        </w:rPr>
        <w:t xml:space="preserve">1,805 crore. </w:t>
      </w:r>
    </w:p>
    <w:p w14:paraId="36666206" w14:textId="33B1B06B" w:rsidR="00B6674B" w:rsidRPr="00C34C61" w:rsidRDefault="006F08DA" w:rsidP="00B6674B">
      <w:pPr>
        <w:spacing w:line="360" w:lineRule="auto"/>
        <w:jc w:val="both"/>
        <w:rPr>
          <w:sz w:val="24"/>
          <w:szCs w:val="24"/>
        </w:rPr>
      </w:pPr>
      <w:r w:rsidRPr="00C34C61">
        <w:rPr>
          <w:sz w:val="24"/>
          <w:szCs w:val="24"/>
        </w:rPr>
        <w:t>During performance a</w:t>
      </w:r>
      <w:r w:rsidR="00397C93" w:rsidRPr="00C34C61">
        <w:rPr>
          <w:sz w:val="24"/>
          <w:szCs w:val="24"/>
        </w:rPr>
        <w:t>udit on “Schemes for Flood Control and Flood Forecasting”</w:t>
      </w:r>
      <w:r w:rsidRPr="00C34C61">
        <w:rPr>
          <w:sz w:val="24"/>
          <w:szCs w:val="24"/>
        </w:rPr>
        <w:t>, we</w:t>
      </w:r>
      <w:r w:rsidR="00397C93" w:rsidRPr="00C34C61">
        <w:rPr>
          <w:sz w:val="24"/>
          <w:szCs w:val="24"/>
        </w:rPr>
        <w:t xml:space="preserve"> examined whether schemes for flood control and flood forecasting were efficient and effective; and whether the review and oversight mechanisms were effective. </w:t>
      </w:r>
      <w:r w:rsidRPr="00C34C61">
        <w:rPr>
          <w:sz w:val="24"/>
          <w:szCs w:val="24"/>
        </w:rPr>
        <w:t xml:space="preserve">We found </w:t>
      </w:r>
      <w:r w:rsidR="00397C93" w:rsidRPr="00C34C61">
        <w:rPr>
          <w:sz w:val="24"/>
          <w:szCs w:val="24"/>
        </w:rPr>
        <w:t xml:space="preserve">that there were long delays in approval of Detailed Project Reports leading to technical designs becoming irrelevant at the time of actual funding. </w:t>
      </w:r>
      <w:r w:rsidR="00CA29A4">
        <w:rPr>
          <w:sz w:val="24"/>
          <w:szCs w:val="24"/>
        </w:rPr>
        <w:t xml:space="preserve">The Ministry did not take up the </w:t>
      </w:r>
      <w:r w:rsidR="00397C93" w:rsidRPr="00C34C61">
        <w:rPr>
          <w:sz w:val="24"/>
          <w:szCs w:val="24"/>
        </w:rPr>
        <w:t xml:space="preserve">Flood management works in an integrated manner covering entire river/tributary or a major segment of rivers/tributaries. There were delays in completion of the projects under Flood Management </w:t>
      </w:r>
      <w:proofErr w:type="spellStart"/>
      <w:r w:rsidR="00397C93" w:rsidRPr="00C34C61">
        <w:rPr>
          <w:sz w:val="24"/>
          <w:szCs w:val="24"/>
        </w:rPr>
        <w:t>Programme</w:t>
      </w:r>
      <w:proofErr w:type="spellEnd"/>
      <w:r w:rsidR="00397C93" w:rsidRPr="00C34C61">
        <w:rPr>
          <w:sz w:val="24"/>
          <w:szCs w:val="24"/>
        </w:rPr>
        <w:t xml:space="preserve">. </w:t>
      </w:r>
      <w:r w:rsidR="00E11266">
        <w:rPr>
          <w:sz w:val="24"/>
          <w:szCs w:val="24"/>
        </w:rPr>
        <w:t>We found a large number of</w:t>
      </w:r>
      <w:r w:rsidR="00397C93" w:rsidRPr="00C34C61">
        <w:rPr>
          <w:sz w:val="24"/>
          <w:szCs w:val="24"/>
        </w:rPr>
        <w:t xml:space="preserve"> </w:t>
      </w:r>
      <w:r w:rsidR="00E11266" w:rsidRPr="00C34C61">
        <w:rPr>
          <w:sz w:val="24"/>
          <w:szCs w:val="24"/>
        </w:rPr>
        <w:t xml:space="preserve">non-functional </w:t>
      </w:r>
      <w:r w:rsidR="00397C93" w:rsidRPr="00C34C61">
        <w:rPr>
          <w:sz w:val="24"/>
          <w:szCs w:val="24"/>
        </w:rPr>
        <w:t>telemetry stations</w:t>
      </w:r>
      <w:r w:rsidR="00E11266">
        <w:rPr>
          <w:sz w:val="24"/>
          <w:szCs w:val="24"/>
        </w:rPr>
        <w:t xml:space="preserve"> </w:t>
      </w:r>
      <w:r w:rsidR="00397C93" w:rsidRPr="00C34C61">
        <w:rPr>
          <w:sz w:val="24"/>
          <w:szCs w:val="24"/>
        </w:rPr>
        <w:t xml:space="preserve">as such real time data for most of the period was not available. There were huge delays in completion of all the projects under River Management Activities and Works related to Border Areas. Emergency Action Plans prepared for only a few large dams. </w:t>
      </w:r>
      <w:r w:rsidR="00E11266">
        <w:rPr>
          <w:sz w:val="24"/>
          <w:szCs w:val="24"/>
        </w:rPr>
        <w:t>Ministry did not implement ke</w:t>
      </w:r>
      <w:r w:rsidR="00397C93" w:rsidRPr="00C34C61">
        <w:rPr>
          <w:sz w:val="24"/>
          <w:szCs w:val="24"/>
        </w:rPr>
        <w:t xml:space="preserve">y recommendations of </w:t>
      </w:r>
      <w:proofErr w:type="spellStart"/>
      <w:r w:rsidR="00397C93" w:rsidRPr="00C34C61">
        <w:rPr>
          <w:sz w:val="24"/>
          <w:szCs w:val="24"/>
        </w:rPr>
        <w:t>Rashtriya</w:t>
      </w:r>
      <w:proofErr w:type="spellEnd"/>
      <w:r w:rsidR="00397C93" w:rsidRPr="00C34C61">
        <w:rPr>
          <w:sz w:val="24"/>
          <w:szCs w:val="24"/>
        </w:rPr>
        <w:t xml:space="preserve"> </w:t>
      </w:r>
      <w:proofErr w:type="spellStart"/>
      <w:r w:rsidR="00397C93" w:rsidRPr="00C34C61">
        <w:rPr>
          <w:sz w:val="24"/>
          <w:szCs w:val="24"/>
        </w:rPr>
        <w:t>Barh</w:t>
      </w:r>
      <w:proofErr w:type="spellEnd"/>
      <w:r w:rsidR="00397C93" w:rsidRPr="00C34C61">
        <w:rPr>
          <w:sz w:val="24"/>
          <w:szCs w:val="24"/>
        </w:rPr>
        <w:t xml:space="preserve"> </w:t>
      </w:r>
      <w:proofErr w:type="spellStart"/>
      <w:r w:rsidR="00397C93" w:rsidRPr="00C34C61">
        <w:rPr>
          <w:sz w:val="24"/>
          <w:szCs w:val="24"/>
        </w:rPr>
        <w:t>Ayog</w:t>
      </w:r>
      <w:proofErr w:type="spellEnd"/>
      <w:r w:rsidR="00397C93" w:rsidRPr="00C34C61">
        <w:rPr>
          <w:sz w:val="24"/>
          <w:szCs w:val="24"/>
        </w:rPr>
        <w:t xml:space="preserve"> such as scientific assessment of flood prone areas and enactment of Flood Plain </w:t>
      </w:r>
      <w:r w:rsidR="00E11266">
        <w:rPr>
          <w:sz w:val="24"/>
          <w:szCs w:val="24"/>
        </w:rPr>
        <w:t>Zoning Act</w:t>
      </w:r>
      <w:r w:rsidR="00397C93" w:rsidRPr="00C34C61">
        <w:rPr>
          <w:sz w:val="24"/>
          <w:szCs w:val="24"/>
        </w:rPr>
        <w:t xml:space="preserve">. </w:t>
      </w:r>
      <w:r w:rsidR="00E11266">
        <w:rPr>
          <w:sz w:val="24"/>
          <w:szCs w:val="24"/>
        </w:rPr>
        <w:t xml:space="preserve">Ministry did not carry out </w:t>
      </w:r>
      <w:r w:rsidR="00397C93" w:rsidRPr="00C34C61">
        <w:rPr>
          <w:sz w:val="24"/>
          <w:szCs w:val="24"/>
        </w:rPr>
        <w:t>Performance and concurrent evaluation as per scheme guidelines.</w:t>
      </w:r>
      <w:r w:rsidR="00E11266">
        <w:rPr>
          <w:sz w:val="24"/>
          <w:szCs w:val="24"/>
        </w:rPr>
        <w:t xml:space="preserve"> The action taken notes </w:t>
      </w:r>
      <w:r w:rsidR="00B6674B" w:rsidRPr="00C34C61">
        <w:rPr>
          <w:sz w:val="24"/>
          <w:szCs w:val="24"/>
        </w:rPr>
        <w:t>awaited from the executive.</w:t>
      </w:r>
    </w:p>
    <w:p w14:paraId="64506BC2" w14:textId="776D00C6" w:rsidR="001600F2" w:rsidRPr="00C34C61" w:rsidRDefault="001600F2" w:rsidP="00CC0FF3">
      <w:pPr>
        <w:spacing w:line="360" w:lineRule="auto"/>
        <w:jc w:val="both"/>
        <w:rPr>
          <w:sz w:val="24"/>
          <w:szCs w:val="24"/>
        </w:rPr>
      </w:pPr>
    </w:p>
    <w:p w14:paraId="7C42E277" w14:textId="77777777" w:rsidR="00397C93" w:rsidRPr="00C34C61" w:rsidRDefault="00397C93" w:rsidP="001C7FC1">
      <w:pPr>
        <w:spacing w:line="360" w:lineRule="auto"/>
        <w:rPr>
          <w:sz w:val="24"/>
          <w:szCs w:val="24"/>
        </w:rPr>
      </w:pPr>
    </w:p>
    <w:sectPr w:rsidR="00397C93" w:rsidRPr="00C34C61" w:rsidSect="00C34C6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627BD"/>
    <w:multiLevelType w:val="hybridMultilevel"/>
    <w:tmpl w:val="8C680FF2"/>
    <w:lvl w:ilvl="0" w:tplc="5A9A484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DD5E5E"/>
    <w:multiLevelType w:val="hybridMultilevel"/>
    <w:tmpl w:val="0B9CBAF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8FE0B7F"/>
    <w:multiLevelType w:val="hybridMultilevel"/>
    <w:tmpl w:val="A2203B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787EA9"/>
    <w:multiLevelType w:val="hybridMultilevel"/>
    <w:tmpl w:val="FD76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E49A3"/>
    <w:multiLevelType w:val="hybridMultilevel"/>
    <w:tmpl w:val="7096ABA0"/>
    <w:lvl w:ilvl="0" w:tplc="40090013">
      <w:start w:val="1"/>
      <w:numFmt w:val="upperRoman"/>
      <w:lvlText w:val="%1."/>
      <w:lvlJc w:val="right"/>
      <w:pPr>
        <w:ind w:left="6066" w:hanging="360"/>
      </w:pPr>
    </w:lvl>
    <w:lvl w:ilvl="1" w:tplc="40090019" w:tentative="1">
      <w:start w:val="1"/>
      <w:numFmt w:val="lowerLetter"/>
      <w:lvlText w:val="%2."/>
      <w:lvlJc w:val="left"/>
      <w:pPr>
        <w:ind w:left="6786" w:hanging="360"/>
      </w:pPr>
    </w:lvl>
    <w:lvl w:ilvl="2" w:tplc="4009001B" w:tentative="1">
      <w:start w:val="1"/>
      <w:numFmt w:val="lowerRoman"/>
      <w:lvlText w:val="%3."/>
      <w:lvlJc w:val="right"/>
      <w:pPr>
        <w:ind w:left="7506" w:hanging="180"/>
      </w:pPr>
    </w:lvl>
    <w:lvl w:ilvl="3" w:tplc="4009000F" w:tentative="1">
      <w:start w:val="1"/>
      <w:numFmt w:val="decimal"/>
      <w:lvlText w:val="%4."/>
      <w:lvlJc w:val="left"/>
      <w:pPr>
        <w:ind w:left="8226" w:hanging="360"/>
      </w:pPr>
    </w:lvl>
    <w:lvl w:ilvl="4" w:tplc="40090019" w:tentative="1">
      <w:start w:val="1"/>
      <w:numFmt w:val="lowerLetter"/>
      <w:lvlText w:val="%5."/>
      <w:lvlJc w:val="left"/>
      <w:pPr>
        <w:ind w:left="8946" w:hanging="360"/>
      </w:pPr>
    </w:lvl>
    <w:lvl w:ilvl="5" w:tplc="4009001B" w:tentative="1">
      <w:start w:val="1"/>
      <w:numFmt w:val="lowerRoman"/>
      <w:lvlText w:val="%6."/>
      <w:lvlJc w:val="right"/>
      <w:pPr>
        <w:ind w:left="9666" w:hanging="180"/>
      </w:pPr>
    </w:lvl>
    <w:lvl w:ilvl="6" w:tplc="4009000F" w:tentative="1">
      <w:start w:val="1"/>
      <w:numFmt w:val="decimal"/>
      <w:lvlText w:val="%7."/>
      <w:lvlJc w:val="left"/>
      <w:pPr>
        <w:ind w:left="10386" w:hanging="360"/>
      </w:pPr>
    </w:lvl>
    <w:lvl w:ilvl="7" w:tplc="40090019" w:tentative="1">
      <w:start w:val="1"/>
      <w:numFmt w:val="lowerLetter"/>
      <w:lvlText w:val="%8."/>
      <w:lvlJc w:val="left"/>
      <w:pPr>
        <w:ind w:left="11106" w:hanging="360"/>
      </w:pPr>
    </w:lvl>
    <w:lvl w:ilvl="8" w:tplc="4009001B" w:tentative="1">
      <w:start w:val="1"/>
      <w:numFmt w:val="lowerRoman"/>
      <w:lvlText w:val="%9."/>
      <w:lvlJc w:val="right"/>
      <w:pPr>
        <w:ind w:left="11826" w:hanging="180"/>
      </w:pPr>
    </w:lvl>
  </w:abstractNum>
  <w:abstractNum w:abstractNumId="5" w15:restartNumberingAfterBreak="0">
    <w:nsid w:val="4E19631B"/>
    <w:multiLevelType w:val="hybridMultilevel"/>
    <w:tmpl w:val="BDDE65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D873F7F"/>
    <w:multiLevelType w:val="multilevel"/>
    <w:tmpl w:val="3B5E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7A2082"/>
    <w:multiLevelType w:val="hybridMultilevel"/>
    <w:tmpl w:val="A24C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017D1"/>
    <w:multiLevelType w:val="hybridMultilevel"/>
    <w:tmpl w:val="A2A4EE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EE91E2D"/>
    <w:multiLevelType w:val="hybridMultilevel"/>
    <w:tmpl w:val="B2784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684A2A"/>
    <w:multiLevelType w:val="hybridMultilevel"/>
    <w:tmpl w:val="693A63F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2"/>
  </w:num>
  <w:num w:numId="5">
    <w:abstractNumId w:val="10"/>
  </w:num>
  <w:num w:numId="6">
    <w:abstractNumId w:val="8"/>
  </w:num>
  <w:num w:numId="7">
    <w:abstractNumId w:val="0"/>
  </w:num>
  <w:num w:numId="8">
    <w:abstractNumId w:val="1"/>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93"/>
    <w:rsid w:val="00084531"/>
    <w:rsid w:val="00085D31"/>
    <w:rsid w:val="000A2AFB"/>
    <w:rsid w:val="001600F2"/>
    <w:rsid w:val="001C7FC1"/>
    <w:rsid w:val="001E2A8A"/>
    <w:rsid w:val="00235B34"/>
    <w:rsid w:val="003210E5"/>
    <w:rsid w:val="00375CBD"/>
    <w:rsid w:val="00397C93"/>
    <w:rsid w:val="003F0D41"/>
    <w:rsid w:val="00435661"/>
    <w:rsid w:val="00483C5C"/>
    <w:rsid w:val="004E4B45"/>
    <w:rsid w:val="004E5E58"/>
    <w:rsid w:val="00511082"/>
    <w:rsid w:val="00534FA2"/>
    <w:rsid w:val="006260D8"/>
    <w:rsid w:val="00640C2B"/>
    <w:rsid w:val="00644760"/>
    <w:rsid w:val="006638B2"/>
    <w:rsid w:val="00674FF2"/>
    <w:rsid w:val="00683542"/>
    <w:rsid w:val="006C5E6B"/>
    <w:rsid w:val="006E5264"/>
    <w:rsid w:val="006F08DA"/>
    <w:rsid w:val="00740B69"/>
    <w:rsid w:val="00840C26"/>
    <w:rsid w:val="00893789"/>
    <w:rsid w:val="0093078B"/>
    <w:rsid w:val="009C79C7"/>
    <w:rsid w:val="009D3A98"/>
    <w:rsid w:val="00A11373"/>
    <w:rsid w:val="00A26208"/>
    <w:rsid w:val="00A341A1"/>
    <w:rsid w:val="00A51DD6"/>
    <w:rsid w:val="00A610F4"/>
    <w:rsid w:val="00AC4C0B"/>
    <w:rsid w:val="00AE70EC"/>
    <w:rsid w:val="00B6674B"/>
    <w:rsid w:val="00BA1152"/>
    <w:rsid w:val="00BE04DD"/>
    <w:rsid w:val="00BE3F52"/>
    <w:rsid w:val="00BF0ABC"/>
    <w:rsid w:val="00BF1816"/>
    <w:rsid w:val="00C25A4C"/>
    <w:rsid w:val="00C34C61"/>
    <w:rsid w:val="00C53A1A"/>
    <w:rsid w:val="00CA29A4"/>
    <w:rsid w:val="00CB6D0C"/>
    <w:rsid w:val="00CC0FF3"/>
    <w:rsid w:val="00D16069"/>
    <w:rsid w:val="00D23DBF"/>
    <w:rsid w:val="00DC05CC"/>
    <w:rsid w:val="00DE2921"/>
    <w:rsid w:val="00E11266"/>
    <w:rsid w:val="00E37AE2"/>
    <w:rsid w:val="00E81BB9"/>
    <w:rsid w:val="00E87224"/>
    <w:rsid w:val="00F43058"/>
    <w:rsid w:val="00FE667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7B48"/>
  <w15:chartTrackingRefBased/>
  <w15:docId w15:val="{D88FFE3E-8C80-4A5F-88CB-F20214E5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638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C93"/>
    <w:pPr>
      <w:ind w:left="720"/>
      <w:contextualSpacing/>
    </w:pPr>
  </w:style>
  <w:style w:type="paragraph" w:styleId="BodyTextIndent">
    <w:name w:val="Body Text Indent"/>
    <w:basedOn w:val="Normal"/>
    <w:link w:val="BodyTextIndentChar"/>
    <w:rsid w:val="001600F2"/>
    <w:pPr>
      <w:widowControl w:val="0"/>
      <w:overflowPunct w:val="0"/>
      <w:autoSpaceDE w:val="0"/>
      <w:autoSpaceDN w:val="0"/>
      <w:adjustRightInd w:val="0"/>
      <w:spacing w:after="0" w:line="240" w:lineRule="auto"/>
      <w:ind w:left="1080" w:hanging="1080"/>
      <w:jc w:val="both"/>
      <w:textAlignment w:val="baseline"/>
    </w:pPr>
    <w:rPr>
      <w:rFonts w:ascii="Times New Roman" w:eastAsia="Times New Roman" w:hAnsi="Times New Roman" w:cs="Times New Roman"/>
      <w:b/>
      <w:sz w:val="24"/>
      <w:lang w:bidi="ar-SA"/>
    </w:rPr>
  </w:style>
  <w:style w:type="character" w:customStyle="1" w:styleId="BodyTextIndentChar">
    <w:name w:val="Body Text Indent Char"/>
    <w:basedOn w:val="DefaultParagraphFont"/>
    <w:link w:val="BodyTextIndent"/>
    <w:rsid w:val="001600F2"/>
    <w:rPr>
      <w:rFonts w:ascii="Times New Roman" w:eastAsia="Times New Roman" w:hAnsi="Times New Roman" w:cs="Times New Roman"/>
      <w:b/>
      <w:sz w:val="24"/>
      <w:lang w:bidi="ar-SA"/>
    </w:rPr>
  </w:style>
  <w:style w:type="paragraph" w:styleId="NormalWeb">
    <w:name w:val="Normal (Web)"/>
    <w:basedOn w:val="Normal"/>
    <w:uiPriority w:val="99"/>
    <w:semiHidden/>
    <w:unhideWhenUsed/>
    <w:rsid w:val="00085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5B34"/>
    <w:rPr>
      <w:color w:val="0000FF"/>
      <w:u w:val="single"/>
    </w:rPr>
  </w:style>
  <w:style w:type="character" w:customStyle="1" w:styleId="Heading2Char">
    <w:name w:val="Heading 2 Char"/>
    <w:basedOn w:val="DefaultParagraphFont"/>
    <w:link w:val="Heading2"/>
    <w:uiPriority w:val="9"/>
    <w:rsid w:val="006638B2"/>
    <w:rPr>
      <w:rFonts w:ascii="Times New Roman" w:eastAsia="Times New Roman" w:hAnsi="Times New Roman" w:cs="Times New Roman"/>
      <w:b/>
      <w:bCs/>
      <w:sz w:val="36"/>
      <w:szCs w:val="36"/>
    </w:rPr>
  </w:style>
  <w:style w:type="paragraph" w:styleId="NoSpacing">
    <w:name w:val="No Spacing"/>
    <w:link w:val="NoSpacingChar"/>
    <w:uiPriority w:val="1"/>
    <w:qFormat/>
    <w:rsid w:val="00840C26"/>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840C26"/>
    <w:rPr>
      <w:rFonts w:eastAsiaTheme="minorEastAsia"/>
      <w:szCs w:val="22"/>
      <w:lang w:bidi="ar-SA"/>
    </w:rPr>
  </w:style>
  <w:style w:type="character" w:styleId="CommentReference">
    <w:name w:val="annotation reference"/>
    <w:basedOn w:val="DefaultParagraphFont"/>
    <w:uiPriority w:val="99"/>
    <w:semiHidden/>
    <w:unhideWhenUsed/>
    <w:rsid w:val="00BF1816"/>
    <w:rPr>
      <w:sz w:val="16"/>
      <w:szCs w:val="16"/>
    </w:rPr>
  </w:style>
  <w:style w:type="paragraph" w:styleId="CommentText">
    <w:name w:val="annotation text"/>
    <w:basedOn w:val="Normal"/>
    <w:link w:val="CommentTextChar"/>
    <w:uiPriority w:val="99"/>
    <w:semiHidden/>
    <w:unhideWhenUsed/>
    <w:rsid w:val="00BF1816"/>
    <w:pPr>
      <w:spacing w:line="240" w:lineRule="auto"/>
    </w:pPr>
    <w:rPr>
      <w:sz w:val="20"/>
      <w:szCs w:val="18"/>
    </w:rPr>
  </w:style>
  <w:style w:type="character" w:customStyle="1" w:styleId="CommentTextChar">
    <w:name w:val="Comment Text Char"/>
    <w:basedOn w:val="DefaultParagraphFont"/>
    <w:link w:val="CommentText"/>
    <w:uiPriority w:val="99"/>
    <w:semiHidden/>
    <w:rsid w:val="00BF1816"/>
    <w:rPr>
      <w:sz w:val="20"/>
      <w:szCs w:val="18"/>
    </w:rPr>
  </w:style>
  <w:style w:type="paragraph" w:styleId="CommentSubject">
    <w:name w:val="annotation subject"/>
    <w:basedOn w:val="CommentText"/>
    <w:next w:val="CommentText"/>
    <w:link w:val="CommentSubjectChar"/>
    <w:uiPriority w:val="99"/>
    <w:semiHidden/>
    <w:unhideWhenUsed/>
    <w:rsid w:val="00BF1816"/>
    <w:rPr>
      <w:b/>
      <w:bCs/>
    </w:rPr>
  </w:style>
  <w:style w:type="character" w:customStyle="1" w:styleId="CommentSubjectChar">
    <w:name w:val="Comment Subject Char"/>
    <w:basedOn w:val="CommentTextChar"/>
    <w:link w:val="CommentSubject"/>
    <w:uiPriority w:val="99"/>
    <w:semiHidden/>
    <w:rsid w:val="00BF1816"/>
    <w:rPr>
      <w:b/>
      <w:bCs/>
      <w:sz w:val="20"/>
      <w:szCs w:val="18"/>
    </w:rPr>
  </w:style>
  <w:style w:type="paragraph" w:styleId="BalloonText">
    <w:name w:val="Balloon Text"/>
    <w:basedOn w:val="Normal"/>
    <w:link w:val="BalloonTextChar"/>
    <w:uiPriority w:val="99"/>
    <w:semiHidden/>
    <w:unhideWhenUsed/>
    <w:rsid w:val="00BF1816"/>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F1816"/>
    <w:rPr>
      <w:rFonts w:ascii="Segoe UI" w:hAnsi="Segoe UI" w:cs="Mangal"/>
      <w:sz w:val="18"/>
      <w:szCs w:val="16"/>
    </w:rPr>
  </w:style>
  <w:style w:type="paragraph" w:styleId="BodyText">
    <w:name w:val="Body Text"/>
    <w:basedOn w:val="Normal"/>
    <w:link w:val="BodyTextChar"/>
    <w:uiPriority w:val="99"/>
    <w:semiHidden/>
    <w:unhideWhenUsed/>
    <w:rsid w:val="00640C2B"/>
    <w:pPr>
      <w:spacing w:after="120"/>
    </w:pPr>
  </w:style>
  <w:style w:type="character" w:customStyle="1" w:styleId="BodyTextChar">
    <w:name w:val="Body Text Char"/>
    <w:basedOn w:val="DefaultParagraphFont"/>
    <w:link w:val="BodyText"/>
    <w:uiPriority w:val="99"/>
    <w:semiHidden/>
    <w:rsid w:val="00640C2B"/>
  </w:style>
  <w:style w:type="paragraph" w:styleId="Title">
    <w:name w:val="Title"/>
    <w:basedOn w:val="Normal"/>
    <w:next w:val="Normal"/>
    <w:link w:val="TitleChar"/>
    <w:uiPriority w:val="10"/>
    <w:qFormat/>
    <w:rsid w:val="00A341A1"/>
    <w:pPr>
      <w:spacing w:before="720" w:after="200" w:line="276" w:lineRule="auto"/>
    </w:pPr>
    <w:rPr>
      <w:caps/>
      <w:color w:val="5B9BD5" w:themeColor="accent1"/>
      <w:spacing w:val="10"/>
      <w:kern w:val="28"/>
      <w:sz w:val="52"/>
      <w:szCs w:val="52"/>
      <w:lang w:bidi="en-US"/>
    </w:rPr>
  </w:style>
  <w:style w:type="character" w:customStyle="1" w:styleId="TitleChar">
    <w:name w:val="Title Char"/>
    <w:basedOn w:val="DefaultParagraphFont"/>
    <w:link w:val="Title"/>
    <w:uiPriority w:val="10"/>
    <w:rsid w:val="00A341A1"/>
    <w:rPr>
      <w:caps/>
      <w:color w:val="5B9BD5" w:themeColor="accent1"/>
      <w:spacing w:val="10"/>
      <w:kern w:val="28"/>
      <w:sz w:val="52"/>
      <w:szCs w:val="52"/>
      <w:lang w:bidi="en-US"/>
    </w:rPr>
  </w:style>
  <w:style w:type="paragraph" w:styleId="IntenseQuote">
    <w:name w:val="Intense Quote"/>
    <w:basedOn w:val="Normal"/>
    <w:next w:val="Normal"/>
    <w:link w:val="IntenseQuoteChar"/>
    <w:uiPriority w:val="30"/>
    <w:qFormat/>
    <w:rsid w:val="00C25A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25A4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30320">
      <w:bodyDiv w:val="1"/>
      <w:marLeft w:val="0"/>
      <w:marRight w:val="0"/>
      <w:marTop w:val="0"/>
      <w:marBottom w:val="0"/>
      <w:divBdr>
        <w:top w:val="none" w:sz="0" w:space="0" w:color="auto"/>
        <w:left w:val="none" w:sz="0" w:space="0" w:color="auto"/>
        <w:bottom w:val="none" w:sz="0" w:space="0" w:color="auto"/>
        <w:right w:val="none" w:sz="0" w:space="0" w:color="auto"/>
      </w:divBdr>
    </w:div>
    <w:div w:id="373582161">
      <w:bodyDiv w:val="1"/>
      <w:marLeft w:val="0"/>
      <w:marRight w:val="0"/>
      <w:marTop w:val="0"/>
      <w:marBottom w:val="0"/>
      <w:divBdr>
        <w:top w:val="none" w:sz="0" w:space="0" w:color="auto"/>
        <w:left w:val="none" w:sz="0" w:space="0" w:color="auto"/>
        <w:bottom w:val="none" w:sz="0" w:space="0" w:color="auto"/>
        <w:right w:val="none" w:sz="0" w:space="0" w:color="auto"/>
      </w:divBdr>
    </w:div>
    <w:div w:id="493230920">
      <w:bodyDiv w:val="1"/>
      <w:marLeft w:val="0"/>
      <w:marRight w:val="0"/>
      <w:marTop w:val="0"/>
      <w:marBottom w:val="0"/>
      <w:divBdr>
        <w:top w:val="none" w:sz="0" w:space="0" w:color="auto"/>
        <w:left w:val="none" w:sz="0" w:space="0" w:color="auto"/>
        <w:bottom w:val="none" w:sz="0" w:space="0" w:color="auto"/>
        <w:right w:val="none" w:sz="0" w:space="0" w:color="auto"/>
      </w:divBdr>
      <w:divsChild>
        <w:div w:id="1781030556">
          <w:marLeft w:val="0"/>
          <w:marRight w:val="150"/>
          <w:marTop w:val="0"/>
          <w:marBottom w:val="0"/>
          <w:divBdr>
            <w:top w:val="single" w:sz="6" w:space="0" w:color="6C6E73"/>
            <w:left w:val="single" w:sz="6" w:space="0" w:color="6C6E73"/>
            <w:bottom w:val="single" w:sz="6" w:space="0" w:color="6C6E73"/>
            <w:right w:val="single" w:sz="6" w:space="0" w:color="6C6E73"/>
          </w:divBdr>
        </w:div>
      </w:divsChild>
    </w:div>
    <w:div w:id="562176855">
      <w:bodyDiv w:val="1"/>
      <w:marLeft w:val="0"/>
      <w:marRight w:val="0"/>
      <w:marTop w:val="0"/>
      <w:marBottom w:val="0"/>
      <w:divBdr>
        <w:top w:val="none" w:sz="0" w:space="0" w:color="auto"/>
        <w:left w:val="none" w:sz="0" w:space="0" w:color="auto"/>
        <w:bottom w:val="none" w:sz="0" w:space="0" w:color="auto"/>
        <w:right w:val="none" w:sz="0" w:space="0" w:color="auto"/>
      </w:divBdr>
    </w:div>
    <w:div w:id="1644501061">
      <w:bodyDiv w:val="1"/>
      <w:marLeft w:val="0"/>
      <w:marRight w:val="0"/>
      <w:marTop w:val="0"/>
      <w:marBottom w:val="0"/>
      <w:divBdr>
        <w:top w:val="none" w:sz="0" w:space="0" w:color="auto"/>
        <w:left w:val="none" w:sz="0" w:space="0" w:color="auto"/>
        <w:bottom w:val="none" w:sz="0" w:space="0" w:color="auto"/>
        <w:right w:val="none" w:sz="0" w:space="0" w:color="auto"/>
      </w:divBdr>
    </w:div>
    <w:div w:id="167309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g.gov.in/content/report-no10-2017-performance-audit-union-government-schemes-flood-control-and-floo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 A.O. (Admin)</dc:creator>
  <cp:keywords/>
  <dc:description/>
  <cp:lastModifiedBy>HP</cp:lastModifiedBy>
  <cp:revision>2</cp:revision>
  <dcterms:created xsi:type="dcterms:W3CDTF">2017-12-14T09:05:00Z</dcterms:created>
  <dcterms:modified xsi:type="dcterms:W3CDTF">2017-12-14T09:05:00Z</dcterms:modified>
</cp:coreProperties>
</file>